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40" w:lineRule="auto"/>
        <w:jc w:val="center"/>
        <w:rPr>
          <w:rFonts w:ascii="Times New Roman" w:hAnsi="Times New Roman" w:cs="Times New Roman"/>
          <w:b/>
          <w:bCs/>
          <w:sz w:val="24"/>
          <w:szCs w:val="24"/>
        </w:rPr>
      </w:pPr>
      <w:r w:rsidRPr="00FE7F76">
        <w:rPr>
          <w:rFonts w:ascii="Times New Roman" w:hAnsi="Times New Roman" w:cs="Times New Roman"/>
          <w:b/>
          <w:bCs/>
          <w:sz w:val="24"/>
          <w:szCs w:val="24"/>
        </w:rPr>
        <w:t>UZASADNIENIE   DO  WIELOLETNIEJ  PROGNOZY  FINANSOWEJ  GMINY  SICIENKO NA  LATA 2013-2019</w:t>
      </w:r>
    </w:p>
    <w:p w:rsidR="00AD08A9" w:rsidRPr="00FE7F76" w:rsidRDefault="00AD08A9" w:rsidP="00AD08A9">
      <w:pPr>
        <w:numPr>
          <w:ilvl w:val="0"/>
          <w:numId w:val="1"/>
        </w:numP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240" w:lineRule="auto"/>
        <w:rPr>
          <w:rFonts w:ascii="Times New Roman" w:hAnsi="Times New Roman" w:cs="Times New Roman"/>
          <w:b/>
          <w:bCs/>
          <w:sz w:val="24"/>
          <w:szCs w:val="24"/>
        </w:rPr>
      </w:pPr>
      <w:r w:rsidRPr="00FE7F76">
        <w:rPr>
          <w:rFonts w:ascii="Times New Roman" w:hAnsi="Times New Roman" w:cs="Times New Roman"/>
          <w:b/>
          <w:bCs/>
          <w:sz w:val="24"/>
          <w:szCs w:val="24"/>
        </w:rPr>
        <w:t>Wstęp</w:t>
      </w:r>
    </w:p>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Times New Roman" w:hAnsi="Times New Roman" w:cs="Times New Roman"/>
          <w:sz w:val="24"/>
          <w:szCs w:val="24"/>
        </w:rPr>
      </w:pPr>
      <w:r w:rsidRPr="00FE7F76">
        <w:rPr>
          <w:rFonts w:ascii="Times New Roman" w:hAnsi="Times New Roman" w:cs="Times New Roman"/>
          <w:sz w:val="24"/>
          <w:szCs w:val="24"/>
        </w:rPr>
        <w:tab/>
        <w:t xml:space="preserve">Ustawa z dnia 27 sierpnia 2009 </w:t>
      </w:r>
      <w:proofErr w:type="spellStart"/>
      <w:r w:rsidRPr="00FE7F76">
        <w:rPr>
          <w:rFonts w:ascii="Times New Roman" w:hAnsi="Times New Roman" w:cs="Times New Roman"/>
          <w:sz w:val="24"/>
          <w:szCs w:val="24"/>
        </w:rPr>
        <w:t>r</w:t>
      </w:r>
      <w:proofErr w:type="spellEnd"/>
      <w:r w:rsidRPr="00FE7F76">
        <w:rPr>
          <w:rFonts w:ascii="Times New Roman" w:hAnsi="Times New Roman" w:cs="Times New Roman"/>
          <w:sz w:val="24"/>
          <w:szCs w:val="24"/>
        </w:rPr>
        <w:t xml:space="preserve">  o finansach publicznych </w:t>
      </w:r>
      <w:r w:rsidRPr="00B817C3">
        <w:rPr>
          <w:rFonts w:ascii="Times New Roman" w:hAnsi="Times New Roman" w:cs="Times New Roman"/>
          <w:sz w:val="24"/>
          <w:szCs w:val="24"/>
        </w:rPr>
        <w:t>(Dz. U. z 2013 roku , poz. 885, poz. 938)</w:t>
      </w:r>
      <w:r w:rsidRPr="00B817C3">
        <w:rPr>
          <w:rFonts w:ascii="Times New Roman" w:hAnsi="Times New Roman" w:cs="Times New Roman"/>
        </w:rPr>
        <w:t>,</w:t>
      </w:r>
      <w:r>
        <w:t xml:space="preserve"> </w:t>
      </w:r>
      <w:r w:rsidRPr="00FE7F76">
        <w:rPr>
          <w:rFonts w:ascii="Times New Roman" w:hAnsi="Times New Roman" w:cs="Times New Roman"/>
          <w:sz w:val="24"/>
          <w:szCs w:val="24"/>
        </w:rPr>
        <w:t xml:space="preserve">nałożyła na jednostki samorządu terytorialnego uchwalenie Wieloletniej prognozy finansowej ( dalej –WPF).  Wieloletnia prognoza finansowa ma na celu przeprowadzenie oceny sytuacji finansowej jednostki samorządu terytorialnego zarówno przez jej  organy jak i innych zainteresowanych między innymi: jej mieszkańców, instytucje finansowe oraz organy nadzoru. WPF jest dokumentem zapewniającym wieloletnią perspektywę prognozowania finansowego. Winien on odzwierciedlać kierunki i plany rozwoju gminy.  Tworzenie prognozy na poszczególnych etapach powinno być ściśle zintegrowane zarówno z realizowanymi zadaniami jak i zamierzeniami inwestycyjnymi na kolejne lata.  Przyjęcie do realizacji poszczególnych inwestycji wiąże się z oszacowaniem możliwości finansowych gminy. W związku z tym przy konstruowaniu WPF najważniejszą kwestią są posiadane środki pochodzące ze zgromadzonych dochodów powiększonych o kwoty przychodów z tytułu nadwyżki budżetowej z poprzedniego roku i wolnych środków stanowiących jako nadwyżki środków pieniężnych na rachunku bieżącym jednostki samorządu terytorialnego, wynikającej z rozliczeń wyemitowanych papierów wartościowych, kredytów i pożyczek z lat poprzednich. Środki te  pierwszej kolejności winny być rozdysponowane na wydatki bieżące oraz spłatę i obsługę zaciągniętego długu. Pozostałe środki można przeznaczyć na realizację zadań inwestycyjnych. </w:t>
      </w:r>
    </w:p>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8"/>
        <w:jc w:val="both"/>
        <w:rPr>
          <w:rFonts w:ascii="Times New Roman" w:hAnsi="Times New Roman" w:cs="Times New Roman"/>
          <w:sz w:val="24"/>
          <w:szCs w:val="24"/>
        </w:rPr>
      </w:pPr>
      <w:r w:rsidRPr="00FE7F76">
        <w:rPr>
          <w:rFonts w:ascii="Times New Roman" w:hAnsi="Times New Roman" w:cs="Times New Roman"/>
          <w:sz w:val="24"/>
          <w:szCs w:val="24"/>
        </w:rPr>
        <w:t xml:space="preserve">Zgodnie z art. 227  ustawy z dnia 27 sierpnia 2009 roku o finansach publicznych  WPF obejmuje  co najmniej 4 lata budżetowe ( dany rok i kolejne 3 lata), nie krócej jednak niż na okres, na jaki przyjęto limity wydatków na przedsięwzięcia wieloletnie.  Ust. 2 powyższego artykułu nakłada natomiast obowiązek sporządzenie prognozy kwoty długu, stanowiącej element WPF  na okres,  na który zaciągnięto oraz planuje się zaciągnąć zobowiązania   z tytułu kredytów i pożyczek, emisji papierów wartościowych, czy też umów wieloletnich. Gmina Sicienko posiada zaciągnięte zobowiązania z tytułu wieloletnich kredytów i pożyczek zaciągniętych na realizację zadań inwestycyjnych oraz sfinansowanie deficytu budżetowego w latach poprzednich na okres do 2019 roku. </w:t>
      </w:r>
    </w:p>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8"/>
        <w:jc w:val="both"/>
        <w:rPr>
          <w:rFonts w:ascii="Times New Roman" w:hAnsi="Times New Roman" w:cs="Times New Roman"/>
          <w:sz w:val="24"/>
          <w:szCs w:val="24"/>
        </w:rPr>
      </w:pPr>
    </w:p>
    <w:p w:rsidR="00AD08A9" w:rsidRPr="00FE7F76" w:rsidRDefault="00AD08A9" w:rsidP="00AD08A9">
      <w:pPr>
        <w:numPr>
          <w:ilvl w:val="0"/>
          <w:numId w:val="1"/>
        </w:numP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both"/>
        <w:rPr>
          <w:rFonts w:ascii="Times New Roman" w:hAnsi="Times New Roman" w:cs="Times New Roman"/>
          <w:b/>
          <w:bCs/>
          <w:sz w:val="24"/>
          <w:szCs w:val="24"/>
        </w:rPr>
      </w:pPr>
      <w:r w:rsidRPr="00FE7F76">
        <w:rPr>
          <w:rFonts w:ascii="Times New Roman" w:hAnsi="Times New Roman" w:cs="Times New Roman"/>
          <w:b/>
          <w:bCs/>
          <w:sz w:val="24"/>
          <w:szCs w:val="24"/>
        </w:rPr>
        <w:t>Założenia makroekonomiczne</w:t>
      </w:r>
    </w:p>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ind w:firstLine="709"/>
        <w:jc w:val="both"/>
        <w:rPr>
          <w:rFonts w:ascii="Times New Roman" w:hAnsi="Times New Roman" w:cs="Times New Roman"/>
          <w:sz w:val="24"/>
          <w:szCs w:val="24"/>
        </w:rPr>
      </w:pPr>
      <w:r w:rsidRPr="00FE7F76">
        <w:rPr>
          <w:rFonts w:ascii="Times New Roman" w:hAnsi="Times New Roman" w:cs="Times New Roman"/>
          <w:sz w:val="24"/>
          <w:szCs w:val="24"/>
        </w:rPr>
        <w:t>Dla potrzeb opracowania Wieloletniej prognozy finansowej Gminy Sicienko przyjęto wskaźniki makroekonomiczne  określone w zaktualizowanych  wytycznych Ministerstwa Finansów dotyczących założeń makroekonomicznych na potrzeby wieloletnich prognoz finansowych jednostek samorządu terytorialnego. Podstawowe wskaźniki przyjęte przy opracowaniu WPF Gminy Sicienko przedstawia poniższa tabela  :</w:t>
      </w:r>
    </w:p>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ind w:firstLine="709"/>
        <w:jc w:val="both"/>
        <w:rPr>
          <w:rFonts w:ascii="Times New Roman" w:hAnsi="Times New Roman" w:cs="Times New Roman"/>
          <w:sz w:val="24"/>
          <w:szCs w:val="24"/>
        </w:rPr>
      </w:pPr>
      <w:r w:rsidRPr="00FE7F76">
        <w:rPr>
          <w:rFonts w:ascii="Times New Roman" w:hAnsi="Times New Roman" w:cs="Times New Roman"/>
          <w:sz w:val="24"/>
          <w:szCs w:val="24"/>
        </w:rPr>
        <w:lastRenderedPageBreak/>
        <w:t>Tabela nr 1</w:t>
      </w:r>
    </w:p>
    <w:tbl>
      <w:tblPr>
        <w:tblW w:w="0" w:type="auto"/>
        <w:tblInd w:w="108" w:type="dxa"/>
        <w:tblLayout w:type="fixed"/>
        <w:tblLook w:val="0000"/>
      </w:tblPr>
      <w:tblGrid>
        <w:gridCol w:w="1976"/>
        <w:gridCol w:w="1084"/>
        <w:gridCol w:w="1084"/>
        <w:gridCol w:w="1015"/>
        <w:gridCol w:w="1015"/>
        <w:gridCol w:w="1015"/>
        <w:gridCol w:w="1015"/>
        <w:gridCol w:w="1015"/>
      </w:tblGrid>
      <w:tr w:rsidR="00AD08A9" w:rsidRPr="00FE7F76" w:rsidTr="00566B5B">
        <w:tc>
          <w:tcPr>
            <w:tcW w:w="1976"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Wyszczególnienie</w:t>
            </w:r>
          </w:p>
        </w:tc>
        <w:tc>
          <w:tcPr>
            <w:tcW w:w="1084"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2013</w:t>
            </w:r>
          </w:p>
        </w:tc>
        <w:tc>
          <w:tcPr>
            <w:tcW w:w="1084"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2014</w:t>
            </w:r>
          </w:p>
        </w:tc>
        <w:tc>
          <w:tcPr>
            <w:tcW w:w="1015"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2015</w:t>
            </w:r>
          </w:p>
        </w:tc>
        <w:tc>
          <w:tcPr>
            <w:tcW w:w="1015"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2016</w:t>
            </w:r>
          </w:p>
        </w:tc>
        <w:tc>
          <w:tcPr>
            <w:tcW w:w="1015"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2017</w:t>
            </w:r>
          </w:p>
        </w:tc>
        <w:tc>
          <w:tcPr>
            <w:tcW w:w="1015"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2018</w:t>
            </w:r>
          </w:p>
        </w:tc>
        <w:tc>
          <w:tcPr>
            <w:tcW w:w="1015"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2019</w:t>
            </w:r>
          </w:p>
        </w:tc>
      </w:tr>
      <w:tr w:rsidR="00AD08A9" w:rsidRPr="00FE7F76" w:rsidTr="00566B5B">
        <w:tc>
          <w:tcPr>
            <w:tcW w:w="1976"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rPr>
                <w:rFonts w:ascii="Times New Roman" w:hAnsi="Times New Roman" w:cs="Times New Roman"/>
                <w:sz w:val="24"/>
                <w:szCs w:val="24"/>
              </w:rPr>
            </w:pPr>
            <w:r w:rsidRPr="00FE7F76">
              <w:rPr>
                <w:rFonts w:ascii="Times New Roman" w:hAnsi="Times New Roman" w:cs="Times New Roman"/>
                <w:sz w:val="24"/>
                <w:szCs w:val="24"/>
              </w:rPr>
              <w:t>PKB, dynamika realna</w:t>
            </w:r>
          </w:p>
        </w:tc>
        <w:tc>
          <w:tcPr>
            <w:tcW w:w="1084"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center"/>
              <w:rPr>
                <w:rFonts w:ascii="Times New Roman" w:hAnsi="Times New Roman" w:cs="Times New Roman"/>
                <w:sz w:val="24"/>
                <w:szCs w:val="24"/>
              </w:rPr>
            </w:pPr>
            <w:r w:rsidRPr="00FE7F76">
              <w:rPr>
                <w:rFonts w:ascii="Times New Roman" w:hAnsi="Times New Roman" w:cs="Times New Roman"/>
                <w:sz w:val="24"/>
                <w:szCs w:val="24"/>
              </w:rPr>
              <w:t>102,7</w:t>
            </w:r>
          </w:p>
        </w:tc>
        <w:tc>
          <w:tcPr>
            <w:tcW w:w="1084"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center"/>
              <w:rPr>
                <w:rFonts w:ascii="Times New Roman" w:hAnsi="Times New Roman" w:cs="Times New Roman"/>
                <w:sz w:val="24"/>
                <w:szCs w:val="24"/>
              </w:rPr>
            </w:pPr>
            <w:r w:rsidRPr="00FE7F76">
              <w:rPr>
                <w:rFonts w:ascii="Times New Roman" w:hAnsi="Times New Roman" w:cs="Times New Roman"/>
                <w:sz w:val="24"/>
                <w:szCs w:val="24"/>
              </w:rPr>
              <w:t>102,3</w:t>
            </w:r>
          </w:p>
        </w:tc>
        <w:tc>
          <w:tcPr>
            <w:tcW w:w="1015"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center"/>
              <w:rPr>
                <w:rFonts w:ascii="Times New Roman" w:hAnsi="Times New Roman" w:cs="Times New Roman"/>
                <w:sz w:val="24"/>
                <w:szCs w:val="24"/>
              </w:rPr>
            </w:pPr>
            <w:r w:rsidRPr="00FE7F76">
              <w:rPr>
                <w:rFonts w:ascii="Times New Roman" w:hAnsi="Times New Roman" w:cs="Times New Roman"/>
                <w:sz w:val="24"/>
                <w:szCs w:val="24"/>
              </w:rPr>
              <w:t>102,5</w:t>
            </w:r>
          </w:p>
        </w:tc>
        <w:tc>
          <w:tcPr>
            <w:tcW w:w="1015"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center"/>
              <w:rPr>
                <w:rFonts w:ascii="Times New Roman" w:hAnsi="Times New Roman" w:cs="Times New Roman"/>
                <w:sz w:val="24"/>
                <w:szCs w:val="24"/>
              </w:rPr>
            </w:pPr>
            <w:r w:rsidRPr="00FE7F76">
              <w:rPr>
                <w:rFonts w:ascii="Times New Roman" w:hAnsi="Times New Roman" w:cs="Times New Roman"/>
                <w:sz w:val="24"/>
                <w:szCs w:val="24"/>
              </w:rPr>
              <w:t>102,5</w:t>
            </w:r>
          </w:p>
        </w:tc>
        <w:tc>
          <w:tcPr>
            <w:tcW w:w="1015"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center"/>
              <w:rPr>
                <w:rFonts w:ascii="Times New Roman" w:hAnsi="Times New Roman" w:cs="Times New Roman"/>
                <w:sz w:val="24"/>
                <w:szCs w:val="24"/>
              </w:rPr>
            </w:pPr>
            <w:r w:rsidRPr="00FE7F76">
              <w:rPr>
                <w:rFonts w:ascii="Times New Roman" w:hAnsi="Times New Roman" w:cs="Times New Roman"/>
                <w:sz w:val="24"/>
                <w:szCs w:val="24"/>
              </w:rPr>
              <w:t>102,5</w:t>
            </w:r>
          </w:p>
        </w:tc>
        <w:tc>
          <w:tcPr>
            <w:tcW w:w="1015"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center"/>
              <w:rPr>
                <w:rFonts w:ascii="Times New Roman" w:hAnsi="Times New Roman" w:cs="Times New Roman"/>
                <w:sz w:val="24"/>
                <w:szCs w:val="24"/>
              </w:rPr>
            </w:pPr>
            <w:r w:rsidRPr="00FE7F76">
              <w:rPr>
                <w:rFonts w:ascii="Times New Roman" w:hAnsi="Times New Roman" w:cs="Times New Roman"/>
                <w:sz w:val="24"/>
                <w:szCs w:val="24"/>
              </w:rPr>
              <w:t>102,4</w:t>
            </w:r>
          </w:p>
        </w:tc>
        <w:tc>
          <w:tcPr>
            <w:tcW w:w="1015"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center"/>
              <w:rPr>
                <w:rFonts w:ascii="Times New Roman" w:hAnsi="Times New Roman" w:cs="Times New Roman"/>
                <w:sz w:val="24"/>
                <w:szCs w:val="24"/>
              </w:rPr>
            </w:pPr>
            <w:r w:rsidRPr="00FE7F76">
              <w:rPr>
                <w:rFonts w:ascii="Times New Roman" w:hAnsi="Times New Roman" w:cs="Times New Roman"/>
                <w:sz w:val="24"/>
                <w:szCs w:val="24"/>
              </w:rPr>
              <w:t>102,4</w:t>
            </w:r>
          </w:p>
        </w:tc>
      </w:tr>
      <w:tr w:rsidR="00AD08A9" w:rsidRPr="00FE7F76" w:rsidTr="00566B5B">
        <w:tc>
          <w:tcPr>
            <w:tcW w:w="1976"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rPr>
                <w:rFonts w:ascii="Times New Roman" w:hAnsi="Times New Roman" w:cs="Times New Roman"/>
                <w:sz w:val="24"/>
                <w:szCs w:val="24"/>
              </w:rPr>
            </w:pPr>
            <w:r w:rsidRPr="00FE7F76">
              <w:rPr>
                <w:rFonts w:ascii="Times New Roman" w:hAnsi="Times New Roman" w:cs="Times New Roman"/>
                <w:sz w:val="24"/>
                <w:szCs w:val="24"/>
              </w:rPr>
              <w:t>CPI – dynamika średnioroczna (wskaźnik inflacji)</w:t>
            </w:r>
          </w:p>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rPr>
                <w:rFonts w:ascii="Times New Roman" w:hAnsi="Times New Roman" w:cs="Times New Roman"/>
                <w:sz w:val="24"/>
                <w:szCs w:val="24"/>
              </w:rPr>
            </w:pPr>
          </w:p>
        </w:tc>
        <w:tc>
          <w:tcPr>
            <w:tcW w:w="1084"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center"/>
              <w:rPr>
                <w:rFonts w:ascii="Times New Roman" w:hAnsi="Times New Roman" w:cs="Times New Roman"/>
                <w:sz w:val="24"/>
                <w:szCs w:val="24"/>
              </w:rPr>
            </w:pPr>
          </w:p>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center"/>
              <w:rPr>
                <w:rFonts w:ascii="Times New Roman" w:hAnsi="Times New Roman" w:cs="Times New Roman"/>
                <w:sz w:val="24"/>
                <w:szCs w:val="24"/>
              </w:rPr>
            </w:pPr>
            <w:r w:rsidRPr="00FE7F76">
              <w:rPr>
                <w:rFonts w:ascii="Times New Roman" w:hAnsi="Times New Roman" w:cs="Times New Roman"/>
                <w:sz w:val="24"/>
                <w:szCs w:val="24"/>
              </w:rPr>
              <w:t>102,5</w:t>
            </w:r>
          </w:p>
        </w:tc>
        <w:tc>
          <w:tcPr>
            <w:tcW w:w="1084"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center"/>
              <w:rPr>
                <w:rFonts w:ascii="Times New Roman" w:hAnsi="Times New Roman" w:cs="Times New Roman"/>
                <w:sz w:val="24"/>
                <w:szCs w:val="24"/>
              </w:rPr>
            </w:pPr>
          </w:p>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center"/>
              <w:rPr>
                <w:rFonts w:ascii="Times New Roman" w:hAnsi="Times New Roman" w:cs="Times New Roman"/>
                <w:sz w:val="24"/>
                <w:szCs w:val="24"/>
              </w:rPr>
            </w:pPr>
            <w:r w:rsidRPr="00FE7F76">
              <w:rPr>
                <w:rFonts w:ascii="Times New Roman" w:hAnsi="Times New Roman" w:cs="Times New Roman"/>
                <w:sz w:val="24"/>
                <w:szCs w:val="24"/>
              </w:rPr>
              <w:t>102,3</w:t>
            </w:r>
          </w:p>
        </w:tc>
        <w:tc>
          <w:tcPr>
            <w:tcW w:w="1015"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center"/>
              <w:rPr>
                <w:rFonts w:ascii="Times New Roman" w:hAnsi="Times New Roman" w:cs="Times New Roman"/>
                <w:sz w:val="24"/>
                <w:szCs w:val="24"/>
              </w:rPr>
            </w:pPr>
          </w:p>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center"/>
              <w:rPr>
                <w:rFonts w:ascii="Times New Roman" w:hAnsi="Times New Roman" w:cs="Times New Roman"/>
                <w:sz w:val="24"/>
                <w:szCs w:val="24"/>
              </w:rPr>
            </w:pPr>
            <w:r w:rsidRPr="00FE7F76">
              <w:rPr>
                <w:rFonts w:ascii="Times New Roman" w:hAnsi="Times New Roman" w:cs="Times New Roman"/>
                <w:sz w:val="24"/>
                <w:szCs w:val="24"/>
              </w:rPr>
              <w:t>102,5</w:t>
            </w:r>
          </w:p>
        </w:tc>
        <w:tc>
          <w:tcPr>
            <w:tcW w:w="1015"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center"/>
              <w:rPr>
                <w:rFonts w:ascii="Times New Roman" w:hAnsi="Times New Roman" w:cs="Times New Roman"/>
                <w:sz w:val="24"/>
                <w:szCs w:val="24"/>
              </w:rPr>
            </w:pPr>
          </w:p>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center"/>
              <w:rPr>
                <w:rFonts w:ascii="Times New Roman" w:hAnsi="Times New Roman" w:cs="Times New Roman"/>
                <w:sz w:val="24"/>
                <w:szCs w:val="24"/>
              </w:rPr>
            </w:pPr>
            <w:r w:rsidRPr="00FE7F76">
              <w:rPr>
                <w:rFonts w:ascii="Times New Roman" w:hAnsi="Times New Roman" w:cs="Times New Roman"/>
                <w:sz w:val="24"/>
                <w:szCs w:val="24"/>
              </w:rPr>
              <w:t>102,5</w:t>
            </w:r>
          </w:p>
        </w:tc>
        <w:tc>
          <w:tcPr>
            <w:tcW w:w="1015"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center"/>
              <w:rPr>
                <w:rFonts w:ascii="Times New Roman" w:hAnsi="Times New Roman" w:cs="Times New Roman"/>
                <w:sz w:val="24"/>
                <w:szCs w:val="24"/>
              </w:rPr>
            </w:pPr>
          </w:p>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center"/>
              <w:rPr>
                <w:rFonts w:ascii="Times New Roman" w:hAnsi="Times New Roman" w:cs="Times New Roman"/>
                <w:sz w:val="24"/>
                <w:szCs w:val="24"/>
              </w:rPr>
            </w:pPr>
            <w:r w:rsidRPr="00FE7F76">
              <w:rPr>
                <w:rFonts w:ascii="Times New Roman" w:hAnsi="Times New Roman" w:cs="Times New Roman"/>
                <w:sz w:val="24"/>
                <w:szCs w:val="24"/>
              </w:rPr>
              <w:t>103,9</w:t>
            </w:r>
          </w:p>
        </w:tc>
        <w:tc>
          <w:tcPr>
            <w:tcW w:w="1015"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center"/>
              <w:rPr>
                <w:rFonts w:ascii="Times New Roman" w:hAnsi="Times New Roman" w:cs="Times New Roman"/>
                <w:sz w:val="24"/>
                <w:szCs w:val="24"/>
              </w:rPr>
            </w:pPr>
          </w:p>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center"/>
              <w:rPr>
                <w:rFonts w:ascii="Times New Roman" w:hAnsi="Times New Roman" w:cs="Times New Roman"/>
                <w:sz w:val="24"/>
                <w:szCs w:val="24"/>
              </w:rPr>
            </w:pPr>
            <w:r w:rsidRPr="00FE7F76">
              <w:rPr>
                <w:rFonts w:ascii="Times New Roman" w:hAnsi="Times New Roman" w:cs="Times New Roman"/>
                <w:sz w:val="24"/>
                <w:szCs w:val="24"/>
              </w:rPr>
              <w:t>103,8</w:t>
            </w:r>
          </w:p>
        </w:tc>
        <w:tc>
          <w:tcPr>
            <w:tcW w:w="1015"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center"/>
              <w:rPr>
                <w:rFonts w:ascii="Times New Roman" w:hAnsi="Times New Roman" w:cs="Times New Roman"/>
                <w:sz w:val="24"/>
                <w:szCs w:val="24"/>
              </w:rPr>
            </w:pPr>
          </w:p>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center"/>
              <w:rPr>
                <w:rFonts w:ascii="Times New Roman" w:hAnsi="Times New Roman" w:cs="Times New Roman"/>
                <w:sz w:val="24"/>
                <w:szCs w:val="24"/>
              </w:rPr>
            </w:pPr>
            <w:r w:rsidRPr="00FE7F76">
              <w:rPr>
                <w:rFonts w:ascii="Times New Roman" w:hAnsi="Times New Roman" w:cs="Times New Roman"/>
                <w:sz w:val="24"/>
                <w:szCs w:val="24"/>
              </w:rPr>
              <w:t>103,5</w:t>
            </w:r>
          </w:p>
        </w:tc>
      </w:tr>
    </w:tbl>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ind w:firstLine="709"/>
        <w:jc w:val="both"/>
        <w:rPr>
          <w:rFonts w:ascii="Times New Roman" w:hAnsi="Times New Roman" w:cs="Times New Roman"/>
          <w:sz w:val="24"/>
          <w:szCs w:val="24"/>
        </w:rPr>
      </w:pPr>
    </w:p>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ind w:firstLine="709"/>
        <w:jc w:val="both"/>
        <w:rPr>
          <w:rFonts w:ascii="Times New Roman" w:hAnsi="Times New Roman" w:cs="Times New Roman"/>
          <w:sz w:val="24"/>
          <w:szCs w:val="24"/>
        </w:rPr>
      </w:pPr>
      <w:r w:rsidRPr="00FE7F76">
        <w:rPr>
          <w:rFonts w:ascii="Times New Roman" w:hAnsi="Times New Roman" w:cs="Times New Roman"/>
          <w:sz w:val="24"/>
          <w:szCs w:val="24"/>
        </w:rPr>
        <w:t>Przyjęte dla potrzeb opracowania  WPF Gminy Sicienko wskaźniki wzrostu wynagrodzeń przedstawia poniższa tabela:</w:t>
      </w:r>
    </w:p>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ind w:firstLine="709"/>
        <w:jc w:val="both"/>
        <w:rPr>
          <w:rFonts w:ascii="Times New Roman" w:hAnsi="Times New Roman" w:cs="Times New Roman"/>
          <w:sz w:val="24"/>
          <w:szCs w:val="24"/>
        </w:rPr>
      </w:pPr>
      <w:r w:rsidRPr="00FE7F76">
        <w:rPr>
          <w:rFonts w:ascii="Times New Roman" w:hAnsi="Times New Roman" w:cs="Times New Roman"/>
          <w:sz w:val="24"/>
          <w:szCs w:val="24"/>
        </w:rPr>
        <w:t xml:space="preserve">Tabela nr 2 </w:t>
      </w:r>
    </w:p>
    <w:tbl>
      <w:tblPr>
        <w:tblW w:w="0" w:type="auto"/>
        <w:tblInd w:w="108" w:type="dxa"/>
        <w:tblLayout w:type="fixed"/>
        <w:tblLook w:val="0000"/>
      </w:tblPr>
      <w:tblGrid>
        <w:gridCol w:w="1976"/>
        <w:gridCol w:w="1084"/>
        <w:gridCol w:w="1084"/>
        <w:gridCol w:w="1015"/>
        <w:gridCol w:w="1015"/>
        <w:gridCol w:w="1015"/>
        <w:gridCol w:w="1015"/>
        <w:gridCol w:w="1015"/>
      </w:tblGrid>
      <w:tr w:rsidR="00AD08A9" w:rsidRPr="00FE7F76" w:rsidTr="00566B5B">
        <w:tc>
          <w:tcPr>
            <w:tcW w:w="1976"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rPr>
                <w:rFonts w:ascii="Times New Roman" w:hAnsi="Times New Roman" w:cs="Times New Roman"/>
                <w:sz w:val="24"/>
                <w:szCs w:val="24"/>
              </w:rPr>
            </w:pPr>
            <w:r w:rsidRPr="00FE7F76">
              <w:rPr>
                <w:rFonts w:ascii="Times New Roman" w:hAnsi="Times New Roman" w:cs="Times New Roman"/>
                <w:sz w:val="24"/>
                <w:szCs w:val="24"/>
              </w:rPr>
              <w:t>Wyszczególnienie</w:t>
            </w:r>
          </w:p>
        </w:tc>
        <w:tc>
          <w:tcPr>
            <w:tcW w:w="1084"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2013</w:t>
            </w:r>
          </w:p>
        </w:tc>
        <w:tc>
          <w:tcPr>
            <w:tcW w:w="1084"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2014</w:t>
            </w:r>
          </w:p>
        </w:tc>
        <w:tc>
          <w:tcPr>
            <w:tcW w:w="1015"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2015</w:t>
            </w:r>
          </w:p>
        </w:tc>
        <w:tc>
          <w:tcPr>
            <w:tcW w:w="1015"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2016</w:t>
            </w:r>
          </w:p>
        </w:tc>
        <w:tc>
          <w:tcPr>
            <w:tcW w:w="1015"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2017</w:t>
            </w:r>
          </w:p>
        </w:tc>
        <w:tc>
          <w:tcPr>
            <w:tcW w:w="1015"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2018</w:t>
            </w:r>
          </w:p>
        </w:tc>
        <w:tc>
          <w:tcPr>
            <w:tcW w:w="1015"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2019</w:t>
            </w:r>
          </w:p>
        </w:tc>
      </w:tr>
      <w:tr w:rsidR="00AD08A9" w:rsidRPr="00FE7F76" w:rsidTr="00566B5B">
        <w:tc>
          <w:tcPr>
            <w:tcW w:w="1976"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Dynamika przeciętnego wynagrodzenia nauczycieli</w:t>
            </w:r>
          </w:p>
        </w:tc>
        <w:tc>
          <w:tcPr>
            <w:tcW w:w="1084"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p>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102,5</w:t>
            </w:r>
          </w:p>
        </w:tc>
        <w:tc>
          <w:tcPr>
            <w:tcW w:w="1084"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p>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102,5</w:t>
            </w:r>
          </w:p>
        </w:tc>
        <w:tc>
          <w:tcPr>
            <w:tcW w:w="1015"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p>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102,5</w:t>
            </w:r>
          </w:p>
        </w:tc>
        <w:tc>
          <w:tcPr>
            <w:tcW w:w="1015"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p>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102,5</w:t>
            </w:r>
          </w:p>
        </w:tc>
        <w:tc>
          <w:tcPr>
            <w:tcW w:w="1015"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p>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102,5</w:t>
            </w:r>
          </w:p>
        </w:tc>
        <w:tc>
          <w:tcPr>
            <w:tcW w:w="1015"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p>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102,5</w:t>
            </w:r>
          </w:p>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p>
        </w:tc>
        <w:tc>
          <w:tcPr>
            <w:tcW w:w="1015"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p>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102,5</w:t>
            </w:r>
          </w:p>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p>
        </w:tc>
      </w:tr>
      <w:tr w:rsidR="00AD08A9" w:rsidRPr="00FE7F76" w:rsidTr="00566B5B">
        <w:tc>
          <w:tcPr>
            <w:tcW w:w="1976"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rPr>
                <w:rFonts w:ascii="Times New Roman" w:hAnsi="Times New Roman" w:cs="Times New Roman"/>
                <w:sz w:val="24"/>
                <w:szCs w:val="24"/>
              </w:rPr>
            </w:pPr>
            <w:r w:rsidRPr="00FE7F76">
              <w:rPr>
                <w:rFonts w:ascii="Times New Roman" w:hAnsi="Times New Roman" w:cs="Times New Roman"/>
                <w:sz w:val="24"/>
                <w:szCs w:val="24"/>
              </w:rPr>
              <w:t>Dynamika przeciętnego wynagrodzenia pracowników administracji i obsługi zatrudnionych w placówkach oświatowych</w:t>
            </w:r>
          </w:p>
        </w:tc>
        <w:tc>
          <w:tcPr>
            <w:tcW w:w="1084"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p>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p>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p>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106,0</w:t>
            </w:r>
          </w:p>
        </w:tc>
        <w:tc>
          <w:tcPr>
            <w:tcW w:w="1084"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p>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p>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p>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103,5</w:t>
            </w:r>
          </w:p>
        </w:tc>
        <w:tc>
          <w:tcPr>
            <w:tcW w:w="1015"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p>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p>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p>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102,5</w:t>
            </w:r>
          </w:p>
        </w:tc>
        <w:tc>
          <w:tcPr>
            <w:tcW w:w="1015"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p>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p>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p>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102,5</w:t>
            </w:r>
          </w:p>
        </w:tc>
        <w:tc>
          <w:tcPr>
            <w:tcW w:w="1015"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p>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p>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p>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102,5</w:t>
            </w:r>
          </w:p>
        </w:tc>
        <w:tc>
          <w:tcPr>
            <w:tcW w:w="1015"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p>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p>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p>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102,5</w:t>
            </w:r>
          </w:p>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p>
        </w:tc>
        <w:tc>
          <w:tcPr>
            <w:tcW w:w="1015"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p>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p>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p>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102,5</w:t>
            </w:r>
          </w:p>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p>
        </w:tc>
      </w:tr>
      <w:tr w:rsidR="00AD08A9" w:rsidRPr="00FE7F76" w:rsidTr="00566B5B">
        <w:tc>
          <w:tcPr>
            <w:tcW w:w="1976"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Dynamika przeciętnego wynagrodzenia pozostałych pracowników</w:t>
            </w:r>
          </w:p>
        </w:tc>
        <w:tc>
          <w:tcPr>
            <w:tcW w:w="1084"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p>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102,7</w:t>
            </w:r>
          </w:p>
        </w:tc>
        <w:tc>
          <w:tcPr>
            <w:tcW w:w="1084"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p>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102,5</w:t>
            </w:r>
          </w:p>
        </w:tc>
        <w:tc>
          <w:tcPr>
            <w:tcW w:w="1015"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p>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102,5</w:t>
            </w:r>
          </w:p>
        </w:tc>
        <w:tc>
          <w:tcPr>
            <w:tcW w:w="1015"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p>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102,5</w:t>
            </w:r>
          </w:p>
        </w:tc>
        <w:tc>
          <w:tcPr>
            <w:tcW w:w="1015"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p>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102,5</w:t>
            </w:r>
          </w:p>
        </w:tc>
        <w:tc>
          <w:tcPr>
            <w:tcW w:w="1015"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p>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102,5</w:t>
            </w:r>
          </w:p>
        </w:tc>
        <w:tc>
          <w:tcPr>
            <w:tcW w:w="1015"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p>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102,5</w:t>
            </w:r>
          </w:p>
        </w:tc>
      </w:tr>
    </w:tbl>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ind w:firstLine="709"/>
        <w:jc w:val="both"/>
        <w:rPr>
          <w:rFonts w:ascii="Times New Roman" w:hAnsi="Times New Roman" w:cs="Times New Roman"/>
          <w:sz w:val="24"/>
          <w:szCs w:val="24"/>
        </w:rPr>
      </w:pPr>
    </w:p>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 xml:space="preserve"> </w:t>
      </w:r>
    </w:p>
    <w:p w:rsidR="00AD08A9" w:rsidRPr="00FE7F76" w:rsidRDefault="00AD08A9" w:rsidP="00AD08A9">
      <w:pPr>
        <w:numPr>
          <w:ilvl w:val="0"/>
          <w:numId w:val="1"/>
        </w:numP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jc w:val="both"/>
        <w:rPr>
          <w:rFonts w:ascii="Times New Roman" w:hAnsi="Times New Roman" w:cs="Times New Roman"/>
          <w:b/>
          <w:bCs/>
          <w:sz w:val="24"/>
          <w:szCs w:val="24"/>
        </w:rPr>
      </w:pPr>
      <w:r w:rsidRPr="00FE7F76">
        <w:rPr>
          <w:rFonts w:ascii="Times New Roman" w:hAnsi="Times New Roman" w:cs="Times New Roman"/>
          <w:b/>
          <w:bCs/>
          <w:sz w:val="24"/>
          <w:szCs w:val="24"/>
        </w:rPr>
        <w:t>Dochody</w:t>
      </w:r>
    </w:p>
    <w:p w:rsidR="00AD08A9" w:rsidRPr="00FE7F76" w:rsidRDefault="00AD08A9" w:rsidP="00AD08A9">
      <w:pP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ind w:left="720"/>
        <w:jc w:val="both"/>
        <w:rPr>
          <w:rFonts w:ascii="Times New Roman" w:hAnsi="Times New Roman" w:cs="Times New Roman"/>
          <w:b/>
          <w:bCs/>
          <w:sz w:val="24"/>
          <w:szCs w:val="24"/>
        </w:rPr>
      </w:pPr>
    </w:p>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ind w:firstLine="709"/>
        <w:jc w:val="both"/>
        <w:rPr>
          <w:rFonts w:ascii="Times New Roman" w:hAnsi="Times New Roman" w:cs="Times New Roman"/>
          <w:sz w:val="24"/>
          <w:szCs w:val="24"/>
        </w:rPr>
      </w:pPr>
      <w:r w:rsidRPr="00FE7F76">
        <w:rPr>
          <w:rFonts w:ascii="Times New Roman" w:hAnsi="Times New Roman" w:cs="Times New Roman"/>
          <w:sz w:val="24"/>
          <w:szCs w:val="24"/>
        </w:rPr>
        <w:t xml:space="preserve">  Przyjęte wartości dochodów, ujętych w wierszu 1 załącznika nr 1 WPF,   z podziałem na dochody bieżące i majątkowe szacowane są w oparciu o analizę danych historycznych, przyjęte wskaźniki makroekonomiczne. Uwzględniają one również przyszłe okoliczności wpływające na wysokość prognozowanych wpływów. </w:t>
      </w:r>
    </w:p>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p>
    <w:p w:rsidR="00AD08A9" w:rsidRPr="00FE7F76" w:rsidRDefault="00AD08A9" w:rsidP="00AD08A9">
      <w:pPr>
        <w:tabs>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after="0"/>
        <w:ind w:left="340"/>
        <w:jc w:val="both"/>
        <w:rPr>
          <w:rFonts w:ascii="Times New Roman" w:hAnsi="Times New Roman" w:cs="Times New Roman"/>
          <w:b/>
          <w:bCs/>
          <w:sz w:val="24"/>
          <w:szCs w:val="24"/>
        </w:rPr>
      </w:pPr>
      <w:r>
        <w:rPr>
          <w:rFonts w:ascii="Times New Roman" w:hAnsi="Times New Roman" w:cs="Times New Roman"/>
          <w:b/>
          <w:bCs/>
          <w:sz w:val="24"/>
          <w:szCs w:val="24"/>
        </w:rPr>
        <w:t>3.1.</w:t>
      </w:r>
      <w:r w:rsidRPr="00FE7F76">
        <w:rPr>
          <w:rFonts w:ascii="Times New Roman" w:hAnsi="Times New Roman" w:cs="Times New Roman"/>
          <w:b/>
          <w:bCs/>
          <w:sz w:val="24"/>
          <w:szCs w:val="24"/>
        </w:rPr>
        <w:t>Dochody bieżące</w:t>
      </w:r>
    </w:p>
    <w:p w:rsidR="00AD08A9" w:rsidRPr="00FE7F76" w:rsidRDefault="00AD08A9" w:rsidP="00AD08A9">
      <w:pP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ind w:left="720"/>
        <w:jc w:val="both"/>
        <w:rPr>
          <w:rFonts w:ascii="Times New Roman" w:hAnsi="Times New Roman" w:cs="Times New Roman"/>
          <w:sz w:val="24"/>
          <w:szCs w:val="24"/>
        </w:rPr>
      </w:pPr>
    </w:p>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ind w:firstLine="709"/>
        <w:jc w:val="both"/>
        <w:rPr>
          <w:rFonts w:ascii="Times New Roman" w:hAnsi="Times New Roman" w:cs="Times New Roman"/>
          <w:sz w:val="24"/>
          <w:szCs w:val="24"/>
        </w:rPr>
      </w:pPr>
      <w:r w:rsidRPr="00FE7F76">
        <w:rPr>
          <w:rFonts w:ascii="Times New Roman" w:hAnsi="Times New Roman" w:cs="Times New Roman"/>
          <w:sz w:val="24"/>
          <w:szCs w:val="24"/>
        </w:rPr>
        <w:t>Do dochodów bieżących, ujętych w wierszu 1.1.  załącznika nr 1 do uchwały zalicza się  wpływy z następujących kategorii:</w:t>
      </w:r>
    </w:p>
    <w:p w:rsidR="00AD08A9" w:rsidRPr="00FE7F76" w:rsidRDefault="00AD08A9" w:rsidP="00AD08A9">
      <w:pPr>
        <w:numPr>
          <w:ilvl w:val="0"/>
          <w:numId w:val="3"/>
        </w:numPr>
        <w:tabs>
          <w:tab w:val="left" w:pos="106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ind w:left="1069"/>
        <w:jc w:val="both"/>
        <w:rPr>
          <w:rFonts w:ascii="Times New Roman" w:hAnsi="Times New Roman" w:cs="Times New Roman"/>
          <w:sz w:val="24"/>
          <w:szCs w:val="24"/>
        </w:rPr>
      </w:pPr>
      <w:r w:rsidRPr="00FE7F76">
        <w:rPr>
          <w:rFonts w:ascii="Times New Roman" w:hAnsi="Times New Roman" w:cs="Times New Roman"/>
          <w:sz w:val="24"/>
          <w:szCs w:val="24"/>
        </w:rPr>
        <w:t>Dochody z podatków i opłat lokalnych, do których zalicza się wpływy z następujących źródeł:</w:t>
      </w:r>
    </w:p>
    <w:p w:rsidR="00AD08A9" w:rsidRPr="00FE7F76" w:rsidRDefault="00AD08A9" w:rsidP="00AD08A9">
      <w:pPr>
        <w:numPr>
          <w:ilvl w:val="0"/>
          <w:numId w:val="5"/>
        </w:numPr>
        <w:tabs>
          <w:tab w:val="left" w:pos="1789"/>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autoSpaceDE w:val="0"/>
        <w:autoSpaceDN w:val="0"/>
        <w:adjustRightInd w:val="0"/>
        <w:spacing w:after="0"/>
        <w:jc w:val="both"/>
        <w:rPr>
          <w:rFonts w:ascii="Times New Roman" w:hAnsi="Times New Roman" w:cs="Times New Roman"/>
          <w:sz w:val="24"/>
          <w:szCs w:val="24"/>
        </w:rPr>
      </w:pPr>
      <w:r w:rsidRPr="00FE7F76">
        <w:rPr>
          <w:rFonts w:ascii="Times New Roman" w:hAnsi="Times New Roman" w:cs="Times New Roman"/>
          <w:sz w:val="24"/>
          <w:szCs w:val="24"/>
        </w:rPr>
        <w:t>podatek od nieruchomości,</w:t>
      </w:r>
    </w:p>
    <w:p w:rsidR="00AD08A9" w:rsidRPr="00FE7F76" w:rsidRDefault="00AD08A9" w:rsidP="00AD08A9">
      <w:pPr>
        <w:numPr>
          <w:ilvl w:val="0"/>
          <w:numId w:val="5"/>
        </w:numPr>
        <w:tabs>
          <w:tab w:val="left" w:pos="1789"/>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autoSpaceDE w:val="0"/>
        <w:autoSpaceDN w:val="0"/>
        <w:adjustRightInd w:val="0"/>
        <w:spacing w:after="0"/>
        <w:jc w:val="both"/>
        <w:rPr>
          <w:rFonts w:ascii="Times New Roman" w:hAnsi="Times New Roman" w:cs="Times New Roman"/>
          <w:sz w:val="24"/>
          <w:szCs w:val="24"/>
        </w:rPr>
      </w:pPr>
      <w:r w:rsidRPr="00FE7F76">
        <w:rPr>
          <w:rFonts w:ascii="Times New Roman" w:hAnsi="Times New Roman" w:cs="Times New Roman"/>
          <w:sz w:val="24"/>
          <w:szCs w:val="24"/>
        </w:rPr>
        <w:t>podatek rolny,</w:t>
      </w:r>
    </w:p>
    <w:p w:rsidR="00AD08A9" w:rsidRPr="00FE7F76" w:rsidRDefault="00AD08A9" w:rsidP="00AD08A9">
      <w:pPr>
        <w:numPr>
          <w:ilvl w:val="0"/>
          <w:numId w:val="5"/>
        </w:numPr>
        <w:tabs>
          <w:tab w:val="left" w:pos="1789"/>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autoSpaceDE w:val="0"/>
        <w:autoSpaceDN w:val="0"/>
        <w:adjustRightInd w:val="0"/>
        <w:spacing w:after="0"/>
        <w:jc w:val="both"/>
        <w:rPr>
          <w:rFonts w:ascii="Times New Roman" w:hAnsi="Times New Roman" w:cs="Times New Roman"/>
          <w:sz w:val="24"/>
          <w:szCs w:val="24"/>
        </w:rPr>
      </w:pPr>
      <w:r w:rsidRPr="00FE7F76">
        <w:rPr>
          <w:rFonts w:ascii="Times New Roman" w:hAnsi="Times New Roman" w:cs="Times New Roman"/>
          <w:sz w:val="24"/>
          <w:szCs w:val="24"/>
        </w:rPr>
        <w:t>podatek leśny,</w:t>
      </w:r>
    </w:p>
    <w:p w:rsidR="00AD08A9" w:rsidRPr="00FE7F76" w:rsidRDefault="00AD08A9" w:rsidP="00AD08A9">
      <w:pPr>
        <w:numPr>
          <w:ilvl w:val="0"/>
          <w:numId w:val="5"/>
        </w:numPr>
        <w:tabs>
          <w:tab w:val="left" w:pos="1789"/>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autoSpaceDE w:val="0"/>
        <w:autoSpaceDN w:val="0"/>
        <w:adjustRightInd w:val="0"/>
        <w:spacing w:after="0"/>
        <w:jc w:val="both"/>
        <w:rPr>
          <w:rFonts w:ascii="Times New Roman" w:hAnsi="Times New Roman" w:cs="Times New Roman"/>
          <w:sz w:val="24"/>
          <w:szCs w:val="24"/>
        </w:rPr>
      </w:pPr>
      <w:r w:rsidRPr="00FE7F76">
        <w:rPr>
          <w:rFonts w:ascii="Times New Roman" w:hAnsi="Times New Roman" w:cs="Times New Roman"/>
          <w:sz w:val="24"/>
          <w:szCs w:val="24"/>
        </w:rPr>
        <w:t>podatek od środków transportowych,</w:t>
      </w:r>
    </w:p>
    <w:p w:rsidR="00AD08A9" w:rsidRPr="00FE7F76" w:rsidRDefault="00AD08A9" w:rsidP="00AD08A9">
      <w:pPr>
        <w:numPr>
          <w:ilvl w:val="0"/>
          <w:numId w:val="16"/>
        </w:numPr>
        <w:tabs>
          <w:tab w:val="left" w:pos="1789"/>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autoSpaceDE w:val="0"/>
        <w:autoSpaceDN w:val="0"/>
        <w:adjustRightInd w:val="0"/>
        <w:spacing w:after="0"/>
        <w:jc w:val="both"/>
        <w:rPr>
          <w:rFonts w:ascii="Times New Roman" w:hAnsi="Times New Roman" w:cs="Times New Roman"/>
          <w:sz w:val="24"/>
          <w:szCs w:val="24"/>
        </w:rPr>
      </w:pPr>
      <w:r w:rsidRPr="00FE7F76">
        <w:rPr>
          <w:rFonts w:ascii="Times New Roman" w:hAnsi="Times New Roman" w:cs="Times New Roman"/>
          <w:color w:val="000000"/>
          <w:sz w:val="24"/>
          <w:szCs w:val="24"/>
        </w:rPr>
        <w:t>podatek od czynności cywilnoprawnych.</w:t>
      </w:r>
    </w:p>
    <w:p w:rsidR="00AD08A9" w:rsidRPr="00FE7F76" w:rsidRDefault="00AD08A9" w:rsidP="00AD08A9">
      <w:pPr>
        <w:numPr>
          <w:ilvl w:val="0"/>
          <w:numId w:val="16"/>
        </w:numPr>
        <w:tabs>
          <w:tab w:val="left" w:pos="1789"/>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autoSpaceDE w:val="0"/>
        <w:autoSpaceDN w:val="0"/>
        <w:adjustRightInd w:val="0"/>
        <w:spacing w:after="0"/>
        <w:jc w:val="both"/>
        <w:rPr>
          <w:rFonts w:ascii="Times New Roman" w:hAnsi="Times New Roman" w:cs="Times New Roman"/>
          <w:sz w:val="24"/>
          <w:szCs w:val="24"/>
        </w:rPr>
      </w:pPr>
      <w:r w:rsidRPr="00FE7F76">
        <w:rPr>
          <w:rFonts w:ascii="Times New Roman" w:hAnsi="Times New Roman" w:cs="Times New Roman"/>
          <w:color w:val="000000"/>
          <w:sz w:val="24"/>
          <w:szCs w:val="24"/>
        </w:rPr>
        <w:t>podatek od spadków i darowizn,</w:t>
      </w:r>
    </w:p>
    <w:p w:rsidR="00AD08A9" w:rsidRPr="00FE7F76" w:rsidRDefault="00AD08A9" w:rsidP="00AD08A9">
      <w:pPr>
        <w:numPr>
          <w:ilvl w:val="0"/>
          <w:numId w:val="16"/>
        </w:numPr>
        <w:tabs>
          <w:tab w:val="left" w:pos="1789"/>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autoSpaceDE w:val="0"/>
        <w:autoSpaceDN w:val="0"/>
        <w:adjustRightInd w:val="0"/>
        <w:spacing w:after="0"/>
        <w:jc w:val="both"/>
        <w:rPr>
          <w:rFonts w:ascii="Times New Roman" w:hAnsi="Times New Roman" w:cs="Times New Roman"/>
          <w:sz w:val="24"/>
          <w:szCs w:val="24"/>
        </w:rPr>
      </w:pPr>
      <w:r w:rsidRPr="00FE7F76">
        <w:rPr>
          <w:rFonts w:ascii="Times New Roman" w:hAnsi="Times New Roman" w:cs="Times New Roman"/>
          <w:color w:val="000000"/>
          <w:sz w:val="24"/>
          <w:szCs w:val="24"/>
        </w:rPr>
        <w:t>oplata skarbowa</w:t>
      </w:r>
    </w:p>
    <w:p w:rsidR="00AD08A9" w:rsidRPr="00FE7F76" w:rsidRDefault="00AD08A9" w:rsidP="00AD08A9">
      <w:pPr>
        <w:numPr>
          <w:ilvl w:val="0"/>
          <w:numId w:val="16"/>
        </w:numPr>
        <w:tabs>
          <w:tab w:val="left" w:pos="1789"/>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autoSpaceDE w:val="0"/>
        <w:autoSpaceDN w:val="0"/>
        <w:adjustRightInd w:val="0"/>
        <w:spacing w:after="0"/>
        <w:jc w:val="both"/>
        <w:rPr>
          <w:rFonts w:ascii="Times New Roman" w:hAnsi="Times New Roman" w:cs="Times New Roman"/>
          <w:sz w:val="24"/>
          <w:szCs w:val="24"/>
        </w:rPr>
      </w:pPr>
      <w:r w:rsidRPr="00FE7F76">
        <w:rPr>
          <w:rFonts w:ascii="Times New Roman" w:hAnsi="Times New Roman" w:cs="Times New Roman"/>
          <w:color w:val="000000"/>
          <w:sz w:val="24"/>
          <w:szCs w:val="24"/>
        </w:rPr>
        <w:t>podatek dochodowy od prowadzonej działalności gospodarczej opłacany w formie karty podatkowej,</w:t>
      </w:r>
    </w:p>
    <w:p w:rsidR="00AD08A9" w:rsidRPr="00FE7F76" w:rsidRDefault="00AD08A9" w:rsidP="00AD08A9">
      <w:pPr>
        <w:numPr>
          <w:ilvl w:val="0"/>
          <w:numId w:val="16"/>
        </w:numPr>
        <w:tabs>
          <w:tab w:val="left" w:pos="1789"/>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autoSpaceDE w:val="0"/>
        <w:autoSpaceDN w:val="0"/>
        <w:adjustRightInd w:val="0"/>
        <w:spacing w:after="0"/>
        <w:jc w:val="both"/>
        <w:rPr>
          <w:rFonts w:ascii="Times New Roman" w:hAnsi="Times New Roman" w:cs="Times New Roman"/>
          <w:sz w:val="24"/>
          <w:szCs w:val="24"/>
        </w:rPr>
      </w:pPr>
      <w:r w:rsidRPr="00FE7F76">
        <w:rPr>
          <w:rFonts w:ascii="Times New Roman" w:hAnsi="Times New Roman" w:cs="Times New Roman"/>
          <w:color w:val="000000"/>
          <w:sz w:val="24"/>
          <w:szCs w:val="24"/>
        </w:rPr>
        <w:t>opłata za zezwolenia na sprzedaż alkoholu, opłata targowa,</w:t>
      </w:r>
    </w:p>
    <w:p w:rsidR="00AD08A9" w:rsidRPr="00FE7F76" w:rsidRDefault="00AD08A9" w:rsidP="00AD08A9">
      <w:pPr>
        <w:numPr>
          <w:ilvl w:val="0"/>
          <w:numId w:val="16"/>
        </w:numPr>
        <w:tabs>
          <w:tab w:val="left" w:pos="1789"/>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autoSpaceDE w:val="0"/>
        <w:autoSpaceDN w:val="0"/>
        <w:adjustRightInd w:val="0"/>
        <w:spacing w:after="0"/>
        <w:jc w:val="both"/>
        <w:rPr>
          <w:rFonts w:ascii="Times New Roman" w:hAnsi="Times New Roman" w:cs="Times New Roman"/>
          <w:sz w:val="24"/>
          <w:szCs w:val="24"/>
        </w:rPr>
      </w:pPr>
      <w:r w:rsidRPr="00FE7F76">
        <w:rPr>
          <w:rFonts w:ascii="Times New Roman" w:hAnsi="Times New Roman" w:cs="Times New Roman"/>
          <w:color w:val="000000"/>
          <w:sz w:val="24"/>
          <w:szCs w:val="24"/>
        </w:rPr>
        <w:t>opłata targowa,</w:t>
      </w:r>
    </w:p>
    <w:p w:rsidR="00AD08A9" w:rsidRPr="00FE7F76" w:rsidRDefault="00AD08A9" w:rsidP="00AD08A9">
      <w:pPr>
        <w:numPr>
          <w:ilvl w:val="0"/>
          <w:numId w:val="16"/>
        </w:numPr>
        <w:tabs>
          <w:tab w:val="left" w:pos="1789"/>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autoSpaceDE w:val="0"/>
        <w:autoSpaceDN w:val="0"/>
        <w:adjustRightInd w:val="0"/>
        <w:spacing w:after="0"/>
        <w:jc w:val="both"/>
        <w:rPr>
          <w:rFonts w:ascii="Times New Roman" w:hAnsi="Times New Roman" w:cs="Times New Roman"/>
          <w:color w:val="000000"/>
          <w:sz w:val="24"/>
          <w:szCs w:val="24"/>
        </w:rPr>
      </w:pPr>
      <w:r w:rsidRPr="00FE7F76">
        <w:rPr>
          <w:rFonts w:ascii="Times New Roman" w:hAnsi="Times New Roman" w:cs="Times New Roman"/>
          <w:color w:val="000000"/>
          <w:sz w:val="24"/>
          <w:szCs w:val="24"/>
        </w:rPr>
        <w:t>inne opłaty pobierane na podstawie odrębnych ustaw.</w:t>
      </w:r>
    </w:p>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p>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Dochody z tej kategorii wpływów stanowią około 25 % dochodów ogółem.</w:t>
      </w:r>
    </w:p>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Dynamikę wzrostu dochodów z podatków i opłat przedstawia poniższa tabela:</w:t>
      </w:r>
    </w:p>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p>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 xml:space="preserve"> Tabela nr 3</w:t>
      </w:r>
    </w:p>
    <w:tbl>
      <w:tblPr>
        <w:tblW w:w="0" w:type="auto"/>
        <w:tblInd w:w="108" w:type="dxa"/>
        <w:tblLayout w:type="fixed"/>
        <w:tblLook w:val="0000"/>
      </w:tblPr>
      <w:tblGrid>
        <w:gridCol w:w="2112"/>
        <w:gridCol w:w="1003"/>
        <w:gridCol w:w="1003"/>
        <w:gridCol w:w="1003"/>
        <w:gridCol w:w="1003"/>
        <w:gridCol w:w="1003"/>
        <w:gridCol w:w="1003"/>
      </w:tblGrid>
      <w:tr w:rsidR="00AD08A9" w:rsidRPr="00FE7F76" w:rsidTr="00566B5B">
        <w:tc>
          <w:tcPr>
            <w:tcW w:w="2112"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ROK</w:t>
            </w:r>
          </w:p>
        </w:tc>
        <w:tc>
          <w:tcPr>
            <w:tcW w:w="1003"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2007/08</w:t>
            </w:r>
          </w:p>
        </w:tc>
        <w:tc>
          <w:tcPr>
            <w:tcW w:w="1003"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2008/09</w:t>
            </w:r>
          </w:p>
        </w:tc>
        <w:tc>
          <w:tcPr>
            <w:tcW w:w="1003"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2009/10</w:t>
            </w:r>
          </w:p>
        </w:tc>
        <w:tc>
          <w:tcPr>
            <w:tcW w:w="1003"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2010/11</w:t>
            </w:r>
          </w:p>
        </w:tc>
        <w:tc>
          <w:tcPr>
            <w:tcW w:w="1003"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2011/12</w:t>
            </w:r>
          </w:p>
        </w:tc>
        <w:tc>
          <w:tcPr>
            <w:tcW w:w="1003"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2012/13</w:t>
            </w:r>
          </w:p>
        </w:tc>
      </w:tr>
      <w:tr w:rsidR="00AD08A9" w:rsidRPr="00FE7F76" w:rsidTr="00566B5B">
        <w:tc>
          <w:tcPr>
            <w:tcW w:w="2112"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Dynamika %</w:t>
            </w:r>
          </w:p>
        </w:tc>
        <w:tc>
          <w:tcPr>
            <w:tcW w:w="1003"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117,06</w:t>
            </w:r>
          </w:p>
        </w:tc>
        <w:tc>
          <w:tcPr>
            <w:tcW w:w="1003"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106,35</w:t>
            </w:r>
          </w:p>
        </w:tc>
        <w:tc>
          <w:tcPr>
            <w:tcW w:w="1003"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105,80</w:t>
            </w:r>
          </w:p>
        </w:tc>
        <w:tc>
          <w:tcPr>
            <w:tcW w:w="1003"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105,40</w:t>
            </w:r>
          </w:p>
        </w:tc>
        <w:tc>
          <w:tcPr>
            <w:tcW w:w="1003"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159,50</w:t>
            </w:r>
          </w:p>
        </w:tc>
        <w:tc>
          <w:tcPr>
            <w:tcW w:w="1003"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115,0</w:t>
            </w:r>
          </w:p>
        </w:tc>
      </w:tr>
      <w:tr w:rsidR="00AD08A9" w:rsidRPr="00FE7F76" w:rsidTr="00566B5B">
        <w:tc>
          <w:tcPr>
            <w:tcW w:w="2112"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ROK</w:t>
            </w:r>
          </w:p>
        </w:tc>
        <w:tc>
          <w:tcPr>
            <w:tcW w:w="1003"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2013/14</w:t>
            </w:r>
          </w:p>
        </w:tc>
        <w:tc>
          <w:tcPr>
            <w:tcW w:w="1003"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2014/15</w:t>
            </w:r>
          </w:p>
        </w:tc>
        <w:tc>
          <w:tcPr>
            <w:tcW w:w="1003"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2015/16</w:t>
            </w:r>
          </w:p>
        </w:tc>
        <w:tc>
          <w:tcPr>
            <w:tcW w:w="1003"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2016/17</w:t>
            </w:r>
          </w:p>
        </w:tc>
        <w:tc>
          <w:tcPr>
            <w:tcW w:w="1003"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2017/18</w:t>
            </w:r>
          </w:p>
        </w:tc>
        <w:tc>
          <w:tcPr>
            <w:tcW w:w="1003"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2018/19</w:t>
            </w:r>
          </w:p>
        </w:tc>
      </w:tr>
      <w:tr w:rsidR="00AD08A9" w:rsidRPr="00FE7F76" w:rsidTr="00566B5B">
        <w:tc>
          <w:tcPr>
            <w:tcW w:w="2112"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Dynamika %</w:t>
            </w:r>
          </w:p>
        </w:tc>
        <w:tc>
          <w:tcPr>
            <w:tcW w:w="1003"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103,0</w:t>
            </w:r>
          </w:p>
        </w:tc>
        <w:tc>
          <w:tcPr>
            <w:tcW w:w="1003"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102,9</w:t>
            </w:r>
          </w:p>
        </w:tc>
        <w:tc>
          <w:tcPr>
            <w:tcW w:w="1003"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103,0</w:t>
            </w:r>
          </w:p>
        </w:tc>
        <w:tc>
          <w:tcPr>
            <w:tcW w:w="1003"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102,7</w:t>
            </w:r>
          </w:p>
        </w:tc>
        <w:tc>
          <w:tcPr>
            <w:tcW w:w="1003"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102,5</w:t>
            </w:r>
          </w:p>
        </w:tc>
        <w:tc>
          <w:tcPr>
            <w:tcW w:w="1003"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102,5</w:t>
            </w:r>
          </w:p>
        </w:tc>
      </w:tr>
    </w:tbl>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p>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Przy kalkulowaniu dochodów z powyższych źródeł dokonano analizy wpływów w latach 2007-2012.  Dochody te wykazują tendencję wzrostową. Wzrost powyższych wpływów jest wynikiem zarówno zwiększania stawek podatkowych jak i podstawy opodatkowania, zwłaszcza w zakresie podatku od nieruchomości. Wzrost podstawy opodatkowania w podatku od nieruchomości jest głównie wynikiem dynamicznego rozwoju budownictwa mieszkaniowego na terenie Gminy Sicienko. W omawianym okresie wzrosła powierzchnia nieruchomości zajętych na cele mieszkalne o ponad 36 tyś m</w:t>
      </w:r>
      <w:r w:rsidRPr="00FE7F76">
        <w:rPr>
          <w:rFonts w:ascii="Times New Roman" w:hAnsi="Times New Roman" w:cs="Times New Roman"/>
          <w:position w:val="6"/>
          <w:sz w:val="24"/>
          <w:szCs w:val="24"/>
        </w:rPr>
        <w:t>2</w:t>
      </w:r>
      <w:r w:rsidRPr="00FE7F76">
        <w:rPr>
          <w:rFonts w:ascii="Times New Roman" w:hAnsi="Times New Roman" w:cs="Times New Roman"/>
          <w:sz w:val="24"/>
          <w:szCs w:val="24"/>
        </w:rPr>
        <w:t>,   powierzchnia budynków pozostałych wzrosła o prawie 34 tyś m</w:t>
      </w:r>
      <w:r w:rsidRPr="00FE7F76">
        <w:rPr>
          <w:rFonts w:ascii="Times New Roman" w:hAnsi="Times New Roman" w:cs="Times New Roman"/>
          <w:position w:val="6"/>
          <w:sz w:val="24"/>
          <w:szCs w:val="24"/>
        </w:rPr>
        <w:t>2</w:t>
      </w:r>
      <w:r w:rsidRPr="00FE7F76">
        <w:rPr>
          <w:rFonts w:ascii="Times New Roman" w:hAnsi="Times New Roman" w:cs="Times New Roman"/>
          <w:sz w:val="24"/>
          <w:szCs w:val="24"/>
        </w:rPr>
        <w:t>.  Powierzchnia gruntów pozostałych wzrosła o ponad 240 tyś m</w:t>
      </w:r>
      <w:r w:rsidRPr="00FE7F76">
        <w:rPr>
          <w:rFonts w:ascii="Times New Roman" w:hAnsi="Times New Roman" w:cs="Times New Roman"/>
          <w:position w:val="6"/>
          <w:sz w:val="24"/>
          <w:szCs w:val="24"/>
        </w:rPr>
        <w:t>2</w:t>
      </w:r>
      <w:r w:rsidRPr="00FE7F76">
        <w:rPr>
          <w:rFonts w:ascii="Times New Roman" w:hAnsi="Times New Roman" w:cs="Times New Roman"/>
          <w:sz w:val="24"/>
          <w:szCs w:val="24"/>
        </w:rPr>
        <w:t xml:space="preserve">  natomiast gruntów związanych z prowadzeniem działalności o ponad 340 tyś m</w:t>
      </w:r>
      <w:r w:rsidRPr="00FE7F76">
        <w:rPr>
          <w:rFonts w:ascii="Times New Roman" w:hAnsi="Times New Roman" w:cs="Times New Roman"/>
          <w:position w:val="6"/>
          <w:sz w:val="24"/>
          <w:szCs w:val="24"/>
        </w:rPr>
        <w:t>2</w:t>
      </w:r>
      <w:r w:rsidRPr="00FE7F76">
        <w:rPr>
          <w:rFonts w:ascii="Times New Roman" w:hAnsi="Times New Roman" w:cs="Times New Roman"/>
          <w:sz w:val="24"/>
          <w:szCs w:val="24"/>
        </w:rPr>
        <w:t xml:space="preserve">. Wzrost tej ostatniej kategorii jest głównie wynikiem przeznaczenia w planie zagospodarowania przestrzennego  gruntów pod stawy infiltracyjne dla potrzeb zaopatrzenia </w:t>
      </w:r>
      <w:r w:rsidRPr="00FE7F76">
        <w:rPr>
          <w:rFonts w:ascii="Times New Roman" w:hAnsi="Times New Roman" w:cs="Times New Roman"/>
          <w:sz w:val="24"/>
          <w:szCs w:val="24"/>
        </w:rPr>
        <w:lastRenderedPageBreak/>
        <w:t xml:space="preserve">w wodę Miasta Bydgoszczy. W 2012 roku odnotowano znaczny wzrost podstawy opodatkowania podatkiem od nieruchomości, wynikający głównie z   zakończenia budowy stawów infiltracyjnych powodujących zwiększenie podatku od budowli o około 1,7 mln zł. Ponadto obserwowany rozwój budownictwa  mieszkaniowego pozwala na zwiększenie planowanych wpływów z podatku od nieruchomości wynikające nie tylko ze wzrostu stawek podatkowych ale i podstawy opodatkowania. Wzrost tego podatku w 2013 roku wynika z niewielkiego  wzrostu  podstawy  opodatkowania  oraz  zwiększenia  stawek  podatkowych. W 2013 roku planowany jest również wzrost wpływów z podatku rolnego, ze względu na zakończenie ulgi inwestycyjnej, a także  wyższej ceny 1 </w:t>
      </w:r>
      <w:proofErr w:type="spellStart"/>
      <w:r w:rsidRPr="00FE7F76">
        <w:rPr>
          <w:rFonts w:ascii="Times New Roman" w:hAnsi="Times New Roman" w:cs="Times New Roman"/>
          <w:sz w:val="24"/>
          <w:szCs w:val="24"/>
        </w:rPr>
        <w:t>dt</w:t>
      </w:r>
      <w:proofErr w:type="spellEnd"/>
      <w:r w:rsidRPr="00FE7F76">
        <w:rPr>
          <w:rFonts w:ascii="Times New Roman" w:hAnsi="Times New Roman" w:cs="Times New Roman"/>
          <w:sz w:val="24"/>
          <w:szCs w:val="24"/>
        </w:rPr>
        <w:t xml:space="preserve"> żyta stanowiącej podstawę naliczania tego podatku. W latach 2007- 2012 obserwowany jest systematyczny wzrost ilości pojazdów podlegających opodatkowaniu podatkiem od środków transportowych. Pozwala to na założenie powyższej tendencji w kolejnych latach i zwiększenie planowanych wpływów z tego tytułu będące skutkiem zarówno wzrostu stawek podatkowych jak i podstawy opodatkowania.    Przy kalkulowaniu dochodów z powyższych podatków w latach następnych przyjęto zakładany wzrost stawek o planowany wskaźnik inflacji 2,5 % rocznie. </w:t>
      </w:r>
    </w:p>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W okresie 2007-2012 zaobserwowano znaczny ( o około 50 %) wzrost wpływów z tytułu  podatku od czynności cywilnoprawnych. Powyższe związane jest głownie ze znacznym wzrostem sprzedaży działek przeznaczonych pod budownictwo. Aktualnie obserwowane jest mniejsze zainteresowanie obrotem cywilnoprawnym. Biorąc powyższe pod uwagę   przy kalkulowaniu dochodów w tej kategorii na 2013 roku oraz na  przyszłe lata przyjęto wzrost wpływów o  wskaźnik  inflacji.</w:t>
      </w:r>
    </w:p>
    <w:p w:rsidR="00AD08A9" w:rsidRPr="00FE7F76" w:rsidRDefault="00AD08A9" w:rsidP="00AD08A9">
      <w:pPr>
        <w:pStyle w:val="Tekstpodstawowy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 xml:space="preserve">W zakresie tej kategorii wpływów uwzględniono nowe źródło dochodów gmin, którym jest zgodnie z ustawą z dnia 13 września 1996 r. o utrzymaniu czystości i porządku w gminach (Dz. U. z 2012 poz. 391)  opłata za gospodarowanie odpadami komunalnymi. Rada Gminy podjęła uchwałę zgodnie, z którą wysokość odpłaty ustalana będzie od ilości osób zamieszkujących w gospodarstwie domowym. Gmina przewiduje rozpoczęcie gospodarowania odpadami komunalnymi od 1 lipca 2013 roku. Przewidywane dochody z tego tytułu w 2013 roku za okres sześciu miesięcy natomiast w kolejnych latach przyjęto dochody roczne z uwzględnieniem planowanej inflacji. </w:t>
      </w:r>
    </w:p>
    <w:p w:rsidR="00AD08A9" w:rsidRPr="00FE7F76" w:rsidRDefault="00AD08A9" w:rsidP="00AD08A9">
      <w:pPr>
        <w:pStyle w:val="Tekstpodstawowy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 xml:space="preserve">W zakresie wpływów z pozostałych źródeł w tej kategorii dochodów bieżących na podstawie dokonanej analizy przyjęto dynamikę ich wzrostu od 100 do 102,5 %. </w:t>
      </w:r>
    </w:p>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p>
    <w:p w:rsidR="00AD08A9" w:rsidRPr="00FE7F76" w:rsidRDefault="00AD08A9" w:rsidP="00AD08A9">
      <w:pPr>
        <w:numPr>
          <w:ilvl w:val="0"/>
          <w:numId w:val="3"/>
        </w:numPr>
        <w:tabs>
          <w:tab w:val="left" w:pos="106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ind w:left="1069"/>
        <w:jc w:val="both"/>
        <w:rPr>
          <w:rFonts w:ascii="Times New Roman" w:hAnsi="Times New Roman" w:cs="Times New Roman"/>
          <w:sz w:val="24"/>
          <w:szCs w:val="24"/>
        </w:rPr>
      </w:pPr>
      <w:r w:rsidRPr="00FE7F76">
        <w:rPr>
          <w:rFonts w:ascii="Times New Roman" w:hAnsi="Times New Roman" w:cs="Times New Roman"/>
          <w:sz w:val="24"/>
          <w:szCs w:val="24"/>
        </w:rPr>
        <w:t>Udziały w podatkach stanowiących dochód państwa, do których zalicza się:</w:t>
      </w:r>
    </w:p>
    <w:p w:rsidR="00AD08A9" w:rsidRPr="00FE7F76" w:rsidRDefault="00AD08A9" w:rsidP="00AD08A9">
      <w:pPr>
        <w:numPr>
          <w:ilvl w:val="0"/>
          <w:numId w:val="6"/>
        </w:numPr>
        <w:tabs>
          <w:tab w:val="left" w:pos="1789"/>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autoSpaceDE w:val="0"/>
        <w:autoSpaceDN w:val="0"/>
        <w:adjustRightInd w:val="0"/>
        <w:spacing w:after="0"/>
        <w:ind w:left="1789"/>
        <w:jc w:val="both"/>
        <w:rPr>
          <w:rFonts w:ascii="Times New Roman" w:hAnsi="Times New Roman" w:cs="Times New Roman"/>
          <w:sz w:val="24"/>
          <w:szCs w:val="24"/>
        </w:rPr>
      </w:pPr>
      <w:r w:rsidRPr="00FE7F76">
        <w:rPr>
          <w:rFonts w:ascii="Times New Roman" w:hAnsi="Times New Roman" w:cs="Times New Roman"/>
          <w:sz w:val="24"/>
          <w:szCs w:val="24"/>
        </w:rPr>
        <w:t>udziały w podatku dochodowym od osób fizycznych,</w:t>
      </w:r>
    </w:p>
    <w:p w:rsidR="00AD08A9" w:rsidRPr="00FE7F76" w:rsidRDefault="00AD08A9" w:rsidP="00AD08A9">
      <w:pPr>
        <w:numPr>
          <w:ilvl w:val="0"/>
          <w:numId w:val="6"/>
        </w:numPr>
        <w:tabs>
          <w:tab w:val="left" w:pos="1789"/>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autoSpaceDE w:val="0"/>
        <w:autoSpaceDN w:val="0"/>
        <w:adjustRightInd w:val="0"/>
        <w:spacing w:after="0"/>
        <w:ind w:left="1789"/>
        <w:jc w:val="both"/>
        <w:rPr>
          <w:rFonts w:ascii="Times New Roman" w:hAnsi="Times New Roman" w:cs="Times New Roman"/>
          <w:sz w:val="24"/>
          <w:szCs w:val="24"/>
        </w:rPr>
      </w:pPr>
      <w:r w:rsidRPr="00FE7F76">
        <w:rPr>
          <w:rFonts w:ascii="Times New Roman" w:hAnsi="Times New Roman" w:cs="Times New Roman"/>
          <w:sz w:val="24"/>
          <w:szCs w:val="24"/>
        </w:rPr>
        <w:t>udziały w podatku dochodowych od osób prawnych.</w:t>
      </w:r>
    </w:p>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p>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W zakresie wpływów z powyższych źródeł główne znaczenie dla dochodów gminy mają  udziały w podatku dochodowym od osób fizycznych, które stanowią ponad 16 % ogółu dochodów. Natomiast wpływy z tytułu udziału w podatku dochodowym od osób prawnych mają nieznaczny wpływ na dochody gminy, gdyż stanowią niespełna 0,06 % dochodów.</w:t>
      </w:r>
    </w:p>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lastRenderedPageBreak/>
        <w:t>Dynamikę wzrostu dochodów z udziału w podatkach stanowiących dochody budżetu państwa przedstawia poniższa tabela:</w:t>
      </w:r>
    </w:p>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p>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Tabela nr 4</w:t>
      </w:r>
    </w:p>
    <w:tbl>
      <w:tblPr>
        <w:tblW w:w="0" w:type="auto"/>
        <w:tblInd w:w="108" w:type="dxa"/>
        <w:tblLayout w:type="fixed"/>
        <w:tblLook w:val="0000"/>
      </w:tblPr>
      <w:tblGrid>
        <w:gridCol w:w="2112"/>
        <w:gridCol w:w="1003"/>
        <w:gridCol w:w="1003"/>
        <w:gridCol w:w="1123"/>
        <w:gridCol w:w="1003"/>
        <w:gridCol w:w="1003"/>
        <w:gridCol w:w="1003"/>
      </w:tblGrid>
      <w:tr w:rsidR="00AD08A9" w:rsidRPr="00FE7F76" w:rsidTr="00566B5B">
        <w:tc>
          <w:tcPr>
            <w:tcW w:w="2112"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ROK</w:t>
            </w:r>
          </w:p>
        </w:tc>
        <w:tc>
          <w:tcPr>
            <w:tcW w:w="1003"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2007/08</w:t>
            </w:r>
          </w:p>
        </w:tc>
        <w:tc>
          <w:tcPr>
            <w:tcW w:w="1003"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2008/09</w:t>
            </w:r>
          </w:p>
        </w:tc>
        <w:tc>
          <w:tcPr>
            <w:tcW w:w="1123"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2009/10</w:t>
            </w:r>
          </w:p>
        </w:tc>
        <w:tc>
          <w:tcPr>
            <w:tcW w:w="1003"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2010/11</w:t>
            </w:r>
          </w:p>
        </w:tc>
        <w:tc>
          <w:tcPr>
            <w:tcW w:w="1003"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2011/12</w:t>
            </w:r>
          </w:p>
        </w:tc>
        <w:tc>
          <w:tcPr>
            <w:tcW w:w="1003"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2012/13</w:t>
            </w:r>
          </w:p>
        </w:tc>
      </w:tr>
      <w:tr w:rsidR="00AD08A9" w:rsidRPr="00FE7F76" w:rsidTr="00566B5B">
        <w:tc>
          <w:tcPr>
            <w:tcW w:w="2112"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Dynamika %</w:t>
            </w:r>
          </w:p>
        </w:tc>
        <w:tc>
          <w:tcPr>
            <w:tcW w:w="1003"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center"/>
              <w:rPr>
                <w:rFonts w:ascii="Times New Roman" w:hAnsi="Times New Roman" w:cs="Times New Roman"/>
                <w:sz w:val="24"/>
                <w:szCs w:val="24"/>
              </w:rPr>
            </w:pPr>
            <w:r w:rsidRPr="00FE7F76">
              <w:rPr>
                <w:rFonts w:ascii="Times New Roman" w:hAnsi="Times New Roman" w:cs="Times New Roman"/>
                <w:sz w:val="24"/>
                <w:szCs w:val="24"/>
              </w:rPr>
              <w:t>121,53</w:t>
            </w:r>
          </w:p>
        </w:tc>
        <w:tc>
          <w:tcPr>
            <w:tcW w:w="1003"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center"/>
              <w:rPr>
                <w:rFonts w:ascii="Times New Roman" w:hAnsi="Times New Roman" w:cs="Times New Roman"/>
                <w:sz w:val="24"/>
                <w:szCs w:val="24"/>
              </w:rPr>
            </w:pPr>
            <w:r w:rsidRPr="00FE7F76">
              <w:rPr>
                <w:rFonts w:ascii="Times New Roman" w:hAnsi="Times New Roman" w:cs="Times New Roman"/>
                <w:sz w:val="24"/>
                <w:szCs w:val="24"/>
              </w:rPr>
              <w:t xml:space="preserve">89,7 </w:t>
            </w:r>
          </w:p>
        </w:tc>
        <w:tc>
          <w:tcPr>
            <w:tcW w:w="1123"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center"/>
              <w:rPr>
                <w:rFonts w:ascii="Times New Roman" w:hAnsi="Times New Roman" w:cs="Times New Roman"/>
                <w:sz w:val="24"/>
                <w:szCs w:val="24"/>
              </w:rPr>
            </w:pPr>
            <w:r w:rsidRPr="00FE7F76">
              <w:rPr>
                <w:rFonts w:ascii="Times New Roman" w:hAnsi="Times New Roman" w:cs="Times New Roman"/>
                <w:sz w:val="24"/>
                <w:szCs w:val="24"/>
              </w:rPr>
              <w:t>107,80</w:t>
            </w:r>
          </w:p>
        </w:tc>
        <w:tc>
          <w:tcPr>
            <w:tcW w:w="1003"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center"/>
              <w:rPr>
                <w:rFonts w:ascii="Times New Roman" w:hAnsi="Times New Roman" w:cs="Times New Roman"/>
                <w:sz w:val="24"/>
                <w:szCs w:val="24"/>
              </w:rPr>
            </w:pPr>
            <w:r w:rsidRPr="00FE7F76">
              <w:rPr>
                <w:rFonts w:ascii="Times New Roman" w:hAnsi="Times New Roman" w:cs="Times New Roman"/>
                <w:sz w:val="24"/>
                <w:szCs w:val="24"/>
              </w:rPr>
              <w:t>99,8</w:t>
            </w:r>
          </w:p>
        </w:tc>
        <w:tc>
          <w:tcPr>
            <w:tcW w:w="1003"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center"/>
              <w:rPr>
                <w:rFonts w:ascii="Times New Roman" w:hAnsi="Times New Roman" w:cs="Times New Roman"/>
                <w:sz w:val="24"/>
                <w:szCs w:val="24"/>
              </w:rPr>
            </w:pPr>
            <w:r w:rsidRPr="00FE7F76">
              <w:rPr>
                <w:rFonts w:ascii="Times New Roman" w:hAnsi="Times New Roman" w:cs="Times New Roman"/>
                <w:sz w:val="24"/>
                <w:szCs w:val="24"/>
              </w:rPr>
              <w:t>127,77</w:t>
            </w:r>
          </w:p>
        </w:tc>
        <w:tc>
          <w:tcPr>
            <w:tcW w:w="1003"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107,99</w:t>
            </w:r>
          </w:p>
        </w:tc>
      </w:tr>
      <w:tr w:rsidR="00AD08A9" w:rsidRPr="00FE7F76" w:rsidTr="00566B5B">
        <w:tc>
          <w:tcPr>
            <w:tcW w:w="2112"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ROK</w:t>
            </w:r>
          </w:p>
        </w:tc>
        <w:tc>
          <w:tcPr>
            <w:tcW w:w="1003"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2013/14</w:t>
            </w:r>
          </w:p>
        </w:tc>
        <w:tc>
          <w:tcPr>
            <w:tcW w:w="1003"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2014/15</w:t>
            </w:r>
          </w:p>
        </w:tc>
        <w:tc>
          <w:tcPr>
            <w:tcW w:w="1123"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2015/16</w:t>
            </w:r>
          </w:p>
        </w:tc>
        <w:tc>
          <w:tcPr>
            <w:tcW w:w="1003"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2016/17</w:t>
            </w:r>
          </w:p>
        </w:tc>
        <w:tc>
          <w:tcPr>
            <w:tcW w:w="1003"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2017/18</w:t>
            </w:r>
          </w:p>
        </w:tc>
        <w:tc>
          <w:tcPr>
            <w:tcW w:w="1003"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2018/19</w:t>
            </w:r>
          </w:p>
        </w:tc>
      </w:tr>
      <w:tr w:rsidR="00AD08A9" w:rsidRPr="00FE7F76" w:rsidTr="00566B5B">
        <w:tc>
          <w:tcPr>
            <w:tcW w:w="2112"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Dynamika %</w:t>
            </w:r>
          </w:p>
        </w:tc>
        <w:tc>
          <w:tcPr>
            <w:tcW w:w="1003"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103,5</w:t>
            </w:r>
          </w:p>
        </w:tc>
        <w:tc>
          <w:tcPr>
            <w:tcW w:w="1003"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103,5</w:t>
            </w:r>
          </w:p>
        </w:tc>
        <w:tc>
          <w:tcPr>
            <w:tcW w:w="1123"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103,5</w:t>
            </w:r>
          </w:p>
        </w:tc>
        <w:tc>
          <w:tcPr>
            <w:tcW w:w="1003"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103,5</w:t>
            </w:r>
          </w:p>
        </w:tc>
        <w:tc>
          <w:tcPr>
            <w:tcW w:w="1003"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103,4</w:t>
            </w:r>
          </w:p>
        </w:tc>
        <w:tc>
          <w:tcPr>
            <w:tcW w:w="1003"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103,4</w:t>
            </w:r>
          </w:p>
        </w:tc>
      </w:tr>
    </w:tbl>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p>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W okresie  2007-2012 wpływy z powyższych źródeł  wzrosły  o  ponad 40,8 %. W 2013 roku zgodnie z informacją Ministerstwa Finansów przewidywany jest wzrost wpływów z tytułu udziału w podatku dochodowym od osób fizycznych o niespełna 8 %. Na wysokość wpływów z tego tytułu wpływ ma  liczba mieszkańców oraz wysokość osiąganych wynagrodzeń. W omawianym okresie  obserwowany  jest  systematyczny  wzrost  liczby  mieszkańców.  W związku  ze  znacznym rozwojem budownictwa mieszkaniowego na terenie Gminy Sicienko należy założyć dalszy wzrost liczby mieszkańców.  Jednakże ze względu na skutki kryzysu gospodarczego przy planowaniu wpływów z tego tytułu w następnych latach  przyjęto znacznie niższy  wzrost wpływów z tego tytułu, tj. o jeden punk procentowy powyżej inflacji.</w:t>
      </w:r>
    </w:p>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p>
    <w:p w:rsidR="00AD08A9" w:rsidRPr="00FE7F76" w:rsidRDefault="00AD08A9" w:rsidP="00AD08A9">
      <w:pPr>
        <w:numPr>
          <w:ilvl w:val="0"/>
          <w:numId w:val="3"/>
        </w:numPr>
        <w:tabs>
          <w:tab w:val="left" w:pos="106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ind w:left="1069"/>
        <w:jc w:val="both"/>
        <w:rPr>
          <w:rFonts w:ascii="Times New Roman" w:hAnsi="Times New Roman" w:cs="Times New Roman"/>
          <w:sz w:val="24"/>
          <w:szCs w:val="24"/>
        </w:rPr>
      </w:pPr>
      <w:r w:rsidRPr="00FE7F76">
        <w:rPr>
          <w:rFonts w:ascii="Times New Roman" w:hAnsi="Times New Roman" w:cs="Times New Roman"/>
          <w:sz w:val="24"/>
          <w:szCs w:val="24"/>
        </w:rPr>
        <w:t>Subwencje z budżetu państwa, na którą składa się:</w:t>
      </w:r>
    </w:p>
    <w:p w:rsidR="00AD08A9" w:rsidRPr="00FE7F76" w:rsidRDefault="00AD08A9" w:rsidP="00AD08A9">
      <w:pPr>
        <w:numPr>
          <w:ilvl w:val="0"/>
          <w:numId w:val="7"/>
        </w:numPr>
        <w:tabs>
          <w:tab w:val="left" w:pos="1429"/>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autoSpaceDE w:val="0"/>
        <w:autoSpaceDN w:val="0"/>
        <w:adjustRightInd w:val="0"/>
        <w:spacing w:after="0"/>
        <w:jc w:val="both"/>
        <w:rPr>
          <w:rFonts w:ascii="Times New Roman" w:hAnsi="Times New Roman" w:cs="Times New Roman"/>
          <w:sz w:val="24"/>
          <w:szCs w:val="24"/>
        </w:rPr>
      </w:pPr>
      <w:r w:rsidRPr="00FE7F76">
        <w:rPr>
          <w:rFonts w:ascii="Times New Roman" w:hAnsi="Times New Roman" w:cs="Times New Roman"/>
          <w:sz w:val="24"/>
          <w:szCs w:val="24"/>
        </w:rPr>
        <w:t>część oświatowa subwencji ogólnej,</w:t>
      </w:r>
    </w:p>
    <w:p w:rsidR="00AD08A9" w:rsidRPr="00FE7F76" w:rsidRDefault="00AD08A9" w:rsidP="00AD08A9">
      <w:pPr>
        <w:numPr>
          <w:ilvl w:val="0"/>
          <w:numId w:val="7"/>
        </w:numPr>
        <w:tabs>
          <w:tab w:val="left" w:pos="1429"/>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autoSpaceDE w:val="0"/>
        <w:autoSpaceDN w:val="0"/>
        <w:adjustRightInd w:val="0"/>
        <w:spacing w:after="0"/>
        <w:jc w:val="both"/>
        <w:rPr>
          <w:rFonts w:ascii="Times New Roman" w:hAnsi="Times New Roman" w:cs="Times New Roman"/>
          <w:sz w:val="24"/>
          <w:szCs w:val="24"/>
        </w:rPr>
      </w:pPr>
      <w:r w:rsidRPr="00FE7F76">
        <w:rPr>
          <w:rFonts w:ascii="Times New Roman" w:hAnsi="Times New Roman" w:cs="Times New Roman"/>
          <w:sz w:val="24"/>
          <w:szCs w:val="24"/>
        </w:rPr>
        <w:t>część wyrównawcza subwencji ogólnej.</w:t>
      </w:r>
    </w:p>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p>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Wpływy z subwencji stanowią znaczną pozycje w dochodach gminy. Część oświatowa stanowi około 30 % dochodów ogółem natomiast część wyrównawcza około 8 %. Dynamikę wzrostu wpływów z tytułu subwencji przedstawia poniższa tabela:</w:t>
      </w:r>
    </w:p>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 xml:space="preserve"> </w:t>
      </w:r>
    </w:p>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Tabela nr 5</w:t>
      </w:r>
    </w:p>
    <w:tbl>
      <w:tblPr>
        <w:tblW w:w="0" w:type="auto"/>
        <w:tblInd w:w="108" w:type="dxa"/>
        <w:tblLayout w:type="fixed"/>
        <w:tblLook w:val="0000"/>
      </w:tblPr>
      <w:tblGrid>
        <w:gridCol w:w="2112"/>
        <w:gridCol w:w="1003"/>
        <w:gridCol w:w="1003"/>
        <w:gridCol w:w="1003"/>
        <w:gridCol w:w="1003"/>
        <w:gridCol w:w="1003"/>
        <w:gridCol w:w="1003"/>
      </w:tblGrid>
      <w:tr w:rsidR="00AD08A9" w:rsidRPr="00FE7F76" w:rsidTr="00566B5B">
        <w:tc>
          <w:tcPr>
            <w:tcW w:w="2112"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ROK</w:t>
            </w:r>
          </w:p>
        </w:tc>
        <w:tc>
          <w:tcPr>
            <w:tcW w:w="1003"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2007/08</w:t>
            </w:r>
          </w:p>
        </w:tc>
        <w:tc>
          <w:tcPr>
            <w:tcW w:w="1003"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2008/09</w:t>
            </w:r>
          </w:p>
        </w:tc>
        <w:tc>
          <w:tcPr>
            <w:tcW w:w="1003"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2009/10</w:t>
            </w:r>
          </w:p>
        </w:tc>
        <w:tc>
          <w:tcPr>
            <w:tcW w:w="1003"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2010/11</w:t>
            </w:r>
          </w:p>
        </w:tc>
        <w:tc>
          <w:tcPr>
            <w:tcW w:w="1003"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2011/12</w:t>
            </w:r>
          </w:p>
        </w:tc>
        <w:tc>
          <w:tcPr>
            <w:tcW w:w="1003"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2012/13</w:t>
            </w:r>
          </w:p>
        </w:tc>
      </w:tr>
      <w:tr w:rsidR="00AD08A9" w:rsidRPr="00FE7F76" w:rsidTr="00566B5B">
        <w:tc>
          <w:tcPr>
            <w:tcW w:w="2112"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Dynamika %</w:t>
            </w:r>
          </w:p>
        </w:tc>
        <w:tc>
          <w:tcPr>
            <w:tcW w:w="1003"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center"/>
              <w:rPr>
                <w:rFonts w:ascii="Times New Roman" w:hAnsi="Times New Roman" w:cs="Times New Roman"/>
                <w:sz w:val="24"/>
                <w:szCs w:val="24"/>
              </w:rPr>
            </w:pPr>
            <w:r w:rsidRPr="00FE7F76">
              <w:rPr>
                <w:rFonts w:ascii="Times New Roman" w:hAnsi="Times New Roman" w:cs="Times New Roman"/>
                <w:sz w:val="24"/>
                <w:szCs w:val="24"/>
              </w:rPr>
              <w:t>111,81</w:t>
            </w:r>
          </w:p>
        </w:tc>
        <w:tc>
          <w:tcPr>
            <w:tcW w:w="1003"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center"/>
              <w:rPr>
                <w:rFonts w:ascii="Times New Roman" w:hAnsi="Times New Roman" w:cs="Times New Roman"/>
                <w:sz w:val="24"/>
                <w:szCs w:val="24"/>
              </w:rPr>
            </w:pPr>
            <w:r w:rsidRPr="00FE7F76">
              <w:rPr>
                <w:rFonts w:ascii="Times New Roman" w:hAnsi="Times New Roman" w:cs="Times New Roman"/>
                <w:sz w:val="24"/>
                <w:szCs w:val="24"/>
              </w:rPr>
              <w:t xml:space="preserve">103,9 </w:t>
            </w:r>
          </w:p>
        </w:tc>
        <w:tc>
          <w:tcPr>
            <w:tcW w:w="1003"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center"/>
              <w:rPr>
                <w:rFonts w:ascii="Times New Roman" w:hAnsi="Times New Roman" w:cs="Times New Roman"/>
                <w:sz w:val="24"/>
                <w:szCs w:val="24"/>
              </w:rPr>
            </w:pPr>
            <w:r w:rsidRPr="00FE7F76">
              <w:rPr>
                <w:rFonts w:ascii="Times New Roman" w:hAnsi="Times New Roman" w:cs="Times New Roman"/>
                <w:sz w:val="24"/>
                <w:szCs w:val="24"/>
              </w:rPr>
              <w:t>104,9</w:t>
            </w:r>
          </w:p>
        </w:tc>
        <w:tc>
          <w:tcPr>
            <w:tcW w:w="1003"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center"/>
              <w:rPr>
                <w:rFonts w:ascii="Times New Roman" w:hAnsi="Times New Roman" w:cs="Times New Roman"/>
                <w:sz w:val="24"/>
                <w:szCs w:val="24"/>
              </w:rPr>
            </w:pPr>
            <w:r w:rsidRPr="00FE7F76">
              <w:rPr>
                <w:rFonts w:ascii="Times New Roman" w:hAnsi="Times New Roman" w:cs="Times New Roman"/>
                <w:sz w:val="24"/>
                <w:szCs w:val="24"/>
              </w:rPr>
              <w:t>104,2</w:t>
            </w:r>
          </w:p>
        </w:tc>
        <w:tc>
          <w:tcPr>
            <w:tcW w:w="1003"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center"/>
              <w:rPr>
                <w:rFonts w:ascii="Times New Roman" w:hAnsi="Times New Roman" w:cs="Times New Roman"/>
                <w:sz w:val="24"/>
                <w:szCs w:val="24"/>
              </w:rPr>
            </w:pPr>
            <w:r w:rsidRPr="00FE7F76">
              <w:rPr>
                <w:rFonts w:ascii="Times New Roman" w:hAnsi="Times New Roman" w:cs="Times New Roman"/>
                <w:sz w:val="24"/>
                <w:szCs w:val="24"/>
              </w:rPr>
              <w:t>106,4</w:t>
            </w:r>
          </w:p>
        </w:tc>
        <w:tc>
          <w:tcPr>
            <w:tcW w:w="1003"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 xml:space="preserve">108,46 </w:t>
            </w:r>
          </w:p>
        </w:tc>
      </w:tr>
      <w:tr w:rsidR="00AD08A9" w:rsidRPr="00FE7F76" w:rsidTr="00566B5B">
        <w:tc>
          <w:tcPr>
            <w:tcW w:w="2112"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ROK</w:t>
            </w:r>
          </w:p>
        </w:tc>
        <w:tc>
          <w:tcPr>
            <w:tcW w:w="1003"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2013/14</w:t>
            </w:r>
          </w:p>
        </w:tc>
        <w:tc>
          <w:tcPr>
            <w:tcW w:w="1003"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2014/15</w:t>
            </w:r>
          </w:p>
        </w:tc>
        <w:tc>
          <w:tcPr>
            <w:tcW w:w="1003"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2015/16</w:t>
            </w:r>
          </w:p>
        </w:tc>
        <w:tc>
          <w:tcPr>
            <w:tcW w:w="1003"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2016/17</w:t>
            </w:r>
          </w:p>
        </w:tc>
        <w:tc>
          <w:tcPr>
            <w:tcW w:w="1003"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2017/18</w:t>
            </w:r>
          </w:p>
        </w:tc>
        <w:tc>
          <w:tcPr>
            <w:tcW w:w="1003"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2017/18</w:t>
            </w:r>
          </w:p>
        </w:tc>
      </w:tr>
      <w:tr w:rsidR="00AD08A9" w:rsidRPr="00FE7F76" w:rsidTr="00566B5B">
        <w:tc>
          <w:tcPr>
            <w:tcW w:w="2112"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Dynamika %</w:t>
            </w:r>
          </w:p>
        </w:tc>
        <w:tc>
          <w:tcPr>
            <w:tcW w:w="1003"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102,3</w:t>
            </w:r>
          </w:p>
        </w:tc>
        <w:tc>
          <w:tcPr>
            <w:tcW w:w="1003"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102,5</w:t>
            </w:r>
          </w:p>
        </w:tc>
        <w:tc>
          <w:tcPr>
            <w:tcW w:w="1003"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102,5</w:t>
            </w:r>
          </w:p>
        </w:tc>
        <w:tc>
          <w:tcPr>
            <w:tcW w:w="1003"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102,5</w:t>
            </w:r>
          </w:p>
        </w:tc>
        <w:tc>
          <w:tcPr>
            <w:tcW w:w="1003"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102,4</w:t>
            </w:r>
          </w:p>
        </w:tc>
        <w:tc>
          <w:tcPr>
            <w:tcW w:w="1003" w:type="dxa"/>
            <w:tcBorders>
              <w:top w:val="single" w:sz="4" w:space="0" w:color="auto"/>
              <w:left w:val="single" w:sz="4" w:space="0" w:color="auto"/>
              <w:bottom w:val="single" w:sz="4" w:space="0" w:color="auto"/>
              <w:right w:val="single" w:sz="4" w:space="0" w:color="auto"/>
            </w:tcBorders>
          </w:tcPr>
          <w:p w:rsidR="00AD08A9" w:rsidRPr="00FE7F76" w:rsidRDefault="00AD08A9" w:rsidP="00566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102,4</w:t>
            </w:r>
          </w:p>
        </w:tc>
      </w:tr>
    </w:tbl>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 xml:space="preserve">Wysokość części oświatowej uzależniona jest od liczby uczniów. W związku z powyższym w celu najbardziej prawdopodobnej kwoty  wpływów dokonano analizy liczby uczniów w poszczególnych latach. W 2013 roku zgodnie z informacją Ministerstwa Finansów zakładany jest wzrost tej części subwencji o 4,48 %.  Jako podstawę wyliczenia przyjęto średnią kwotę subwencji na ucznia powiększoną o zakładany wskaźnik inflacji. </w:t>
      </w:r>
    </w:p>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 xml:space="preserve">Przy ustalaniu wysokości części wyrównawczej dokonano analizy wpływów w latach 2007-2012 o ponad 56 %. Jednakże  na wysokość subwencji wyrównawczej wpływ ma  między </w:t>
      </w:r>
      <w:r w:rsidRPr="00FE7F76">
        <w:rPr>
          <w:rFonts w:ascii="Times New Roman" w:hAnsi="Times New Roman" w:cs="Times New Roman"/>
          <w:sz w:val="24"/>
          <w:szCs w:val="24"/>
        </w:rPr>
        <w:lastRenderedPageBreak/>
        <w:t>innymi wysokość podstawowych dochodów podatkowych. W 2013 roku zakładany wzrost części wyrównawczej zgodnie z informacją Ministerstwa Finansów o 20,84 %. Natomiast w   kolejnych latach  o planowany wskaźnik inflacji, ze względu na znaczny wzrost od 2012 roku wpływów z podatku od nieruchomości.</w:t>
      </w:r>
    </w:p>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p>
    <w:p w:rsidR="00AD08A9" w:rsidRPr="00FE7F76" w:rsidRDefault="00AD08A9" w:rsidP="00AD08A9">
      <w:pPr>
        <w:numPr>
          <w:ilvl w:val="0"/>
          <w:numId w:val="3"/>
        </w:numPr>
        <w:tabs>
          <w:tab w:val="left" w:pos="106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ind w:left="1069"/>
        <w:jc w:val="both"/>
        <w:rPr>
          <w:rFonts w:ascii="Times New Roman" w:hAnsi="Times New Roman" w:cs="Times New Roman"/>
          <w:sz w:val="24"/>
          <w:szCs w:val="24"/>
        </w:rPr>
      </w:pPr>
      <w:r w:rsidRPr="00FE7F76">
        <w:rPr>
          <w:rFonts w:ascii="Times New Roman" w:hAnsi="Times New Roman" w:cs="Times New Roman"/>
          <w:sz w:val="24"/>
          <w:szCs w:val="24"/>
        </w:rPr>
        <w:t>Pozostałe dochody z majątku gminy, do których zaliczone zostały wpływy z:</w:t>
      </w:r>
    </w:p>
    <w:p w:rsidR="00AD08A9" w:rsidRPr="00FE7F76" w:rsidRDefault="00AD08A9" w:rsidP="00AD08A9">
      <w:pPr>
        <w:numPr>
          <w:ilvl w:val="0"/>
          <w:numId w:val="8"/>
        </w:numPr>
        <w:tabs>
          <w:tab w:val="left" w:pos="1429"/>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autoSpaceDE w:val="0"/>
        <w:autoSpaceDN w:val="0"/>
        <w:adjustRightInd w:val="0"/>
        <w:spacing w:after="0"/>
        <w:jc w:val="both"/>
        <w:rPr>
          <w:rFonts w:ascii="Times New Roman" w:hAnsi="Times New Roman" w:cs="Times New Roman"/>
          <w:sz w:val="24"/>
          <w:szCs w:val="24"/>
        </w:rPr>
      </w:pPr>
      <w:r w:rsidRPr="00FE7F76">
        <w:rPr>
          <w:rFonts w:ascii="Times New Roman" w:hAnsi="Times New Roman" w:cs="Times New Roman"/>
          <w:sz w:val="24"/>
          <w:szCs w:val="24"/>
        </w:rPr>
        <w:t xml:space="preserve">   opłat za zarząd i wieczyste użytkowanie nieruchomości,</w:t>
      </w:r>
    </w:p>
    <w:p w:rsidR="00AD08A9" w:rsidRPr="00FE7F76" w:rsidRDefault="00AD08A9" w:rsidP="00AD08A9">
      <w:pPr>
        <w:numPr>
          <w:ilvl w:val="0"/>
          <w:numId w:val="8"/>
        </w:numPr>
        <w:tabs>
          <w:tab w:val="left" w:pos="1429"/>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autoSpaceDE w:val="0"/>
        <w:autoSpaceDN w:val="0"/>
        <w:adjustRightInd w:val="0"/>
        <w:spacing w:after="0"/>
        <w:jc w:val="both"/>
        <w:rPr>
          <w:rFonts w:ascii="Times New Roman" w:hAnsi="Times New Roman" w:cs="Times New Roman"/>
          <w:sz w:val="24"/>
          <w:szCs w:val="24"/>
        </w:rPr>
      </w:pPr>
      <w:r w:rsidRPr="00FE7F76">
        <w:rPr>
          <w:rFonts w:ascii="Times New Roman" w:hAnsi="Times New Roman" w:cs="Times New Roman"/>
          <w:sz w:val="24"/>
          <w:szCs w:val="24"/>
        </w:rPr>
        <w:t xml:space="preserve">   dzierżawy i najmu nieruchomości.</w:t>
      </w:r>
    </w:p>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p>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 xml:space="preserve">Wpływy z powyższych tytułów stanowią około 0,80 % dochodów ogółem. Głównym źródłem są wpływy z tytułu dzierżawy części budynków komunalnych na działalność gospodarczą oraz świadczenie usług medycznych, a także z najmu lokali mieszkalnych. W zakresie powyższej kategorii przyjęto wzrost wpływów w 2013 roku o około 1 %.  W kolejnych latach założono wzrost dochodów o wskaźnik inflacji. </w:t>
      </w:r>
    </w:p>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 xml:space="preserve"> </w:t>
      </w:r>
    </w:p>
    <w:p w:rsidR="00AD08A9" w:rsidRPr="00FE7F76" w:rsidRDefault="00AD08A9" w:rsidP="00AD08A9">
      <w:pPr>
        <w:numPr>
          <w:ilvl w:val="0"/>
          <w:numId w:val="3"/>
        </w:numPr>
        <w:tabs>
          <w:tab w:val="left" w:pos="106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ind w:left="1069"/>
        <w:jc w:val="both"/>
        <w:rPr>
          <w:rFonts w:ascii="Times New Roman" w:hAnsi="Times New Roman" w:cs="Times New Roman"/>
          <w:sz w:val="24"/>
          <w:szCs w:val="24"/>
        </w:rPr>
      </w:pPr>
      <w:r w:rsidRPr="00FE7F76">
        <w:rPr>
          <w:rFonts w:ascii="Times New Roman" w:hAnsi="Times New Roman" w:cs="Times New Roman"/>
          <w:sz w:val="24"/>
          <w:szCs w:val="24"/>
        </w:rPr>
        <w:t>Odsetki</w:t>
      </w:r>
    </w:p>
    <w:p w:rsidR="00AD08A9" w:rsidRPr="00FE7F76" w:rsidRDefault="00AD08A9" w:rsidP="00AD08A9">
      <w:pPr>
        <w:numPr>
          <w:ilvl w:val="0"/>
          <w:numId w:val="9"/>
        </w:numPr>
        <w:tabs>
          <w:tab w:val="left" w:pos="1429"/>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autoSpaceDE w:val="0"/>
        <w:autoSpaceDN w:val="0"/>
        <w:adjustRightInd w:val="0"/>
        <w:spacing w:after="0"/>
        <w:jc w:val="both"/>
        <w:rPr>
          <w:rFonts w:ascii="Times New Roman" w:hAnsi="Times New Roman" w:cs="Times New Roman"/>
          <w:sz w:val="24"/>
          <w:szCs w:val="24"/>
        </w:rPr>
      </w:pPr>
      <w:r w:rsidRPr="00FE7F76">
        <w:rPr>
          <w:rFonts w:ascii="Times New Roman" w:hAnsi="Times New Roman" w:cs="Times New Roman"/>
          <w:sz w:val="24"/>
          <w:szCs w:val="24"/>
        </w:rPr>
        <w:t>odsetki od nieterminowych wpłat podatków i opłat lokalnych,</w:t>
      </w:r>
    </w:p>
    <w:p w:rsidR="00AD08A9" w:rsidRPr="00FE7F76" w:rsidRDefault="00AD08A9" w:rsidP="00AD08A9">
      <w:pPr>
        <w:numPr>
          <w:ilvl w:val="0"/>
          <w:numId w:val="9"/>
        </w:numPr>
        <w:tabs>
          <w:tab w:val="left" w:pos="1429"/>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autoSpaceDE w:val="0"/>
        <w:autoSpaceDN w:val="0"/>
        <w:adjustRightInd w:val="0"/>
        <w:spacing w:after="0"/>
        <w:jc w:val="both"/>
        <w:rPr>
          <w:rFonts w:ascii="Times New Roman" w:hAnsi="Times New Roman" w:cs="Times New Roman"/>
          <w:sz w:val="24"/>
          <w:szCs w:val="24"/>
        </w:rPr>
      </w:pPr>
      <w:r w:rsidRPr="00FE7F76">
        <w:rPr>
          <w:rFonts w:ascii="Times New Roman" w:hAnsi="Times New Roman" w:cs="Times New Roman"/>
          <w:sz w:val="24"/>
          <w:szCs w:val="24"/>
        </w:rPr>
        <w:t>pozostałe odsetki, w tym od środków zgromadzonych na rachunkach bankowych.</w:t>
      </w:r>
    </w:p>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p>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 xml:space="preserve">Łączne wpływy z odsetek stanowią niespełna 0,20 % dochodów ogółem. W latach objętych WPF założono wzrost dochodów o wskaźnik inflacji. </w:t>
      </w:r>
    </w:p>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p>
    <w:p w:rsidR="00AD08A9" w:rsidRPr="00FE7F76" w:rsidRDefault="00AD08A9" w:rsidP="00AD08A9">
      <w:pPr>
        <w:numPr>
          <w:ilvl w:val="0"/>
          <w:numId w:val="3"/>
        </w:numPr>
        <w:tabs>
          <w:tab w:val="left" w:pos="106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ind w:left="1069"/>
        <w:jc w:val="both"/>
        <w:rPr>
          <w:rFonts w:ascii="Times New Roman" w:hAnsi="Times New Roman" w:cs="Times New Roman"/>
          <w:sz w:val="24"/>
          <w:szCs w:val="24"/>
        </w:rPr>
      </w:pPr>
      <w:r w:rsidRPr="00FE7F76">
        <w:rPr>
          <w:rFonts w:ascii="Times New Roman" w:hAnsi="Times New Roman" w:cs="Times New Roman"/>
          <w:sz w:val="24"/>
          <w:szCs w:val="24"/>
        </w:rPr>
        <w:t>Dotacje celowe na zadania bieżące</w:t>
      </w:r>
    </w:p>
    <w:p w:rsidR="00AD08A9" w:rsidRPr="00FE7F76" w:rsidRDefault="00AD08A9" w:rsidP="00AD08A9">
      <w:pPr>
        <w:numPr>
          <w:ilvl w:val="0"/>
          <w:numId w:val="10"/>
        </w:numPr>
        <w:tabs>
          <w:tab w:val="left" w:pos="1429"/>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autoSpaceDE w:val="0"/>
        <w:autoSpaceDN w:val="0"/>
        <w:adjustRightInd w:val="0"/>
        <w:spacing w:after="0"/>
        <w:jc w:val="both"/>
        <w:rPr>
          <w:rFonts w:ascii="Times New Roman" w:hAnsi="Times New Roman" w:cs="Times New Roman"/>
          <w:sz w:val="24"/>
          <w:szCs w:val="24"/>
        </w:rPr>
      </w:pPr>
      <w:r w:rsidRPr="00FE7F76">
        <w:rPr>
          <w:rFonts w:ascii="Times New Roman" w:hAnsi="Times New Roman" w:cs="Times New Roman"/>
          <w:sz w:val="24"/>
          <w:szCs w:val="24"/>
        </w:rPr>
        <w:t>dotacje celowe na realizację zadań własnych,</w:t>
      </w:r>
    </w:p>
    <w:p w:rsidR="00AD08A9" w:rsidRPr="00FE7F76" w:rsidRDefault="00AD08A9" w:rsidP="00AD08A9">
      <w:pPr>
        <w:numPr>
          <w:ilvl w:val="0"/>
          <w:numId w:val="10"/>
        </w:numPr>
        <w:tabs>
          <w:tab w:val="left" w:pos="1429"/>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autoSpaceDE w:val="0"/>
        <w:autoSpaceDN w:val="0"/>
        <w:adjustRightInd w:val="0"/>
        <w:spacing w:after="0"/>
        <w:jc w:val="both"/>
        <w:rPr>
          <w:rFonts w:ascii="Times New Roman" w:hAnsi="Times New Roman" w:cs="Times New Roman"/>
          <w:sz w:val="24"/>
          <w:szCs w:val="24"/>
        </w:rPr>
      </w:pPr>
      <w:r w:rsidRPr="00FE7F76">
        <w:rPr>
          <w:rFonts w:ascii="Times New Roman" w:hAnsi="Times New Roman" w:cs="Times New Roman"/>
          <w:sz w:val="24"/>
          <w:szCs w:val="24"/>
        </w:rPr>
        <w:t>dotacje celowe na realizację zadań zleconych i powierzonych z zakresu  administracji rządowej.</w:t>
      </w:r>
    </w:p>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p>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 xml:space="preserve">Źródłem dotacji celowych na zadania własne są wpływy z budżetu państwa, ze środków unijnych, a także pozyskane z funduszy celowych. Gmina Sicienko corocznie uzyskuje powyższe dotacje na realizację zadań własnych z zakresu głównie w zakresie oświaty, edukacyjnej opieki wychowawczej, pomocy społecznej, a także na bieżące remonty dróg. Gminny Ośrodek Pomocy Społecznej realizuje również projekt z zakresu rozwoju i upowszechniania aktywnej integracji dofinansowywany z Programu Operacyjnego Kapitał Ludzki.  W tej kategorii dochodów ujęta została również  dotacja na zadania realizowane na podstawie porozumienia z powiatem bydgoskim na realizację zadań w zakresie bieżącego utrzymania dróg powiatowych. </w:t>
      </w:r>
    </w:p>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Gmina realizuje zadania zlecone z zakresu administracji rządowej, zlecone na podstawie odrębnych ustaw, a także realizowane na podstawie porozumień z organami administracji rządowej. Na pokrycie kosztów tych zadań przekazywane są dotacje celowe z budżetu państwa.</w:t>
      </w:r>
    </w:p>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lastRenderedPageBreak/>
        <w:t xml:space="preserve">Łączne wpływy z dotacji celowych stanowią ponad  12 % dochodów ogółem. W latach objętych WPF założono wzrost dochodów o wskaźnik inflacji. </w:t>
      </w:r>
    </w:p>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p>
    <w:p w:rsidR="00AD08A9" w:rsidRPr="00FE7F76" w:rsidRDefault="00AD08A9" w:rsidP="00AD08A9">
      <w:pPr>
        <w:numPr>
          <w:ilvl w:val="0"/>
          <w:numId w:val="3"/>
        </w:numPr>
        <w:tabs>
          <w:tab w:val="left" w:pos="106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ind w:left="1069"/>
        <w:jc w:val="both"/>
        <w:rPr>
          <w:rFonts w:ascii="Times New Roman" w:hAnsi="Times New Roman" w:cs="Times New Roman"/>
          <w:sz w:val="24"/>
          <w:szCs w:val="24"/>
        </w:rPr>
      </w:pPr>
      <w:r w:rsidRPr="00FE7F76">
        <w:rPr>
          <w:rFonts w:ascii="Times New Roman" w:hAnsi="Times New Roman" w:cs="Times New Roman"/>
          <w:sz w:val="24"/>
          <w:szCs w:val="24"/>
        </w:rPr>
        <w:t>Pozostałe dochody, do których zaliczane są:</w:t>
      </w:r>
    </w:p>
    <w:p w:rsidR="00AD08A9" w:rsidRPr="00FE7F76" w:rsidRDefault="00AD08A9" w:rsidP="00AD08A9">
      <w:pPr>
        <w:numPr>
          <w:ilvl w:val="0"/>
          <w:numId w:val="11"/>
        </w:numPr>
        <w:tabs>
          <w:tab w:val="left" w:pos="1429"/>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autoSpaceDE w:val="0"/>
        <w:autoSpaceDN w:val="0"/>
        <w:adjustRightInd w:val="0"/>
        <w:spacing w:after="0"/>
        <w:ind w:left="1429"/>
        <w:jc w:val="both"/>
        <w:rPr>
          <w:rFonts w:ascii="Times New Roman" w:hAnsi="Times New Roman" w:cs="Times New Roman"/>
          <w:sz w:val="24"/>
          <w:szCs w:val="24"/>
        </w:rPr>
      </w:pPr>
      <w:r w:rsidRPr="00FE7F76">
        <w:rPr>
          <w:rFonts w:ascii="Times New Roman" w:hAnsi="Times New Roman" w:cs="Times New Roman"/>
          <w:sz w:val="24"/>
          <w:szCs w:val="24"/>
        </w:rPr>
        <w:t>wpływy z usług,</w:t>
      </w:r>
    </w:p>
    <w:p w:rsidR="00AD08A9" w:rsidRPr="00FE7F76" w:rsidRDefault="00AD08A9" w:rsidP="00AD08A9">
      <w:pPr>
        <w:numPr>
          <w:ilvl w:val="0"/>
          <w:numId w:val="11"/>
        </w:numPr>
        <w:tabs>
          <w:tab w:val="left" w:pos="1429"/>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autoSpaceDE w:val="0"/>
        <w:autoSpaceDN w:val="0"/>
        <w:adjustRightInd w:val="0"/>
        <w:spacing w:after="0"/>
        <w:ind w:left="1429"/>
        <w:jc w:val="both"/>
        <w:rPr>
          <w:rFonts w:ascii="Times New Roman" w:hAnsi="Times New Roman" w:cs="Times New Roman"/>
          <w:sz w:val="24"/>
          <w:szCs w:val="24"/>
        </w:rPr>
      </w:pPr>
      <w:r w:rsidRPr="00FE7F76">
        <w:rPr>
          <w:rFonts w:ascii="Times New Roman" w:hAnsi="Times New Roman" w:cs="Times New Roman"/>
          <w:sz w:val="24"/>
          <w:szCs w:val="24"/>
        </w:rPr>
        <w:t>różne opłaty,</w:t>
      </w:r>
    </w:p>
    <w:p w:rsidR="00AD08A9" w:rsidRPr="00FE7F76" w:rsidRDefault="00AD08A9" w:rsidP="00AD08A9">
      <w:pPr>
        <w:numPr>
          <w:ilvl w:val="0"/>
          <w:numId w:val="11"/>
        </w:numPr>
        <w:tabs>
          <w:tab w:val="left" w:pos="1429"/>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autoSpaceDE w:val="0"/>
        <w:autoSpaceDN w:val="0"/>
        <w:adjustRightInd w:val="0"/>
        <w:spacing w:after="0"/>
        <w:ind w:left="1429"/>
        <w:jc w:val="both"/>
        <w:rPr>
          <w:rFonts w:ascii="Times New Roman" w:hAnsi="Times New Roman" w:cs="Times New Roman"/>
          <w:sz w:val="24"/>
          <w:szCs w:val="24"/>
        </w:rPr>
      </w:pPr>
      <w:r w:rsidRPr="00FE7F76">
        <w:rPr>
          <w:rFonts w:ascii="Times New Roman" w:hAnsi="Times New Roman" w:cs="Times New Roman"/>
          <w:sz w:val="24"/>
          <w:szCs w:val="24"/>
        </w:rPr>
        <w:t>grzywny i kary pieniężne,</w:t>
      </w:r>
    </w:p>
    <w:p w:rsidR="00AD08A9" w:rsidRPr="00FE7F76" w:rsidRDefault="00AD08A9" w:rsidP="00AD08A9">
      <w:pPr>
        <w:numPr>
          <w:ilvl w:val="0"/>
          <w:numId w:val="11"/>
        </w:numPr>
        <w:tabs>
          <w:tab w:val="left" w:pos="1429"/>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autoSpaceDE w:val="0"/>
        <w:autoSpaceDN w:val="0"/>
        <w:adjustRightInd w:val="0"/>
        <w:spacing w:after="0"/>
        <w:ind w:left="1429"/>
        <w:jc w:val="both"/>
        <w:rPr>
          <w:rFonts w:ascii="Times New Roman" w:hAnsi="Times New Roman" w:cs="Times New Roman"/>
          <w:sz w:val="24"/>
          <w:szCs w:val="24"/>
        </w:rPr>
      </w:pPr>
      <w:r w:rsidRPr="00FE7F76">
        <w:rPr>
          <w:rFonts w:ascii="Times New Roman" w:hAnsi="Times New Roman" w:cs="Times New Roman"/>
          <w:sz w:val="24"/>
          <w:szCs w:val="24"/>
        </w:rPr>
        <w:t>wpływy z różnych dochodów.</w:t>
      </w:r>
    </w:p>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40" w:lineRule="auto"/>
        <w:rPr>
          <w:rFonts w:ascii="Times New Roman" w:hAnsi="Times New Roman" w:cs="Times New Roman"/>
          <w:sz w:val="24"/>
          <w:szCs w:val="24"/>
        </w:rPr>
      </w:pPr>
    </w:p>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imes New Roman" w:hAnsi="Times New Roman" w:cs="Times New Roman"/>
          <w:sz w:val="24"/>
          <w:szCs w:val="24"/>
        </w:rPr>
      </w:pPr>
      <w:r w:rsidRPr="00FE7F76">
        <w:rPr>
          <w:rFonts w:ascii="Times New Roman" w:hAnsi="Times New Roman" w:cs="Times New Roman"/>
          <w:sz w:val="24"/>
          <w:szCs w:val="24"/>
        </w:rPr>
        <w:t xml:space="preserve">Średnie wpływy z powyższych źródeł stanowią około 1 % dochodów ogółem. W latach objętych WPF założono wzrost dochodów o przewidywany  wskaźnik inflacji. </w:t>
      </w:r>
    </w:p>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imes New Roman" w:hAnsi="Times New Roman" w:cs="Times New Roman"/>
          <w:b/>
          <w:bCs/>
          <w:sz w:val="24"/>
          <w:szCs w:val="24"/>
        </w:rPr>
      </w:pPr>
      <w:r w:rsidRPr="00FE7F76">
        <w:rPr>
          <w:rFonts w:ascii="Times New Roman" w:hAnsi="Times New Roman" w:cs="Times New Roman"/>
          <w:sz w:val="24"/>
          <w:szCs w:val="24"/>
        </w:rPr>
        <w:tab/>
      </w:r>
      <w:r w:rsidRPr="00FE7F76">
        <w:rPr>
          <w:rFonts w:ascii="Times New Roman" w:hAnsi="Times New Roman" w:cs="Times New Roman"/>
          <w:b/>
          <w:bCs/>
          <w:sz w:val="24"/>
          <w:szCs w:val="24"/>
        </w:rPr>
        <w:t>3.2. Dochody majątkowe</w:t>
      </w:r>
    </w:p>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8"/>
        <w:rPr>
          <w:rFonts w:ascii="Times New Roman" w:hAnsi="Times New Roman" w:cs="Times New Roman"/>
          <w:sz w:val="24"/>
          <w:szCs w:val="24"/>
        </w:rPr>
      </w:pPr>
      <w:r w:rsidRPr="00FE7F76">
        <w:rPr>
          <w:rFonts w:ascii="Times New Roman" w:hAnsi="Times New Roman" w:cs="Times New Roman"/>
          <w:sz w:val="24"/>
          <w:szCs w:val="24"/>
        </w:rPr>
        <w:t>Do dochodów majątkowych, ujętych w wierszu 1.2 załącznika nr 1 do uchwały zalicza się wpływy z następujących kategorii:</w:t>
      </w:r>
    </w:p>
    <w:p w:rsidR="00AD08A9" w:rsidRPr="00FE7F76" w:rsidRDefault="00AD08A9" w:rsidP="00AD08A9">
      <w:pPr>
        <w:numPr>
          <w:ilvl w:val="0"/>
          <w:numId w:val="12"/>
        </w:numP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ind w:left="720" w:hanging="360"/>
        <w:rPr>
          <w:rFonts w:ascii="Times New Roman" w:hAnsi="Times New Roman" w:cs="Times New Roman"/>
          <w:sz w:val="24"/>
          <w:szCs w:val="24"/>
        </w:rPr>
      </w:pPr>
      <w:r w:rsidRPr="00FE7F76">
        <w:rPr>
          <w:rFonts w:ascii="Times New Roman" w:hAnsi="Times New Roman" w:cs="Times New Roman"/>
          <w:sz w:val="24"/>
          <w:szCs w:val="24"/>
        </w:rPr>
        <w:t>Dochody ze sprzedaży majątku, ujęte w wierszu 1.2.1 załącznika nr 1, na które składają się:</w:t>
      </w:r>
    </w:p>
    <w:p w:rsidR="00AD08A9" w:rsidRPr="00FE7F76" w:rsidRDefault="00AD08A9" w:rsidP="00AD08A9">
      <w:pPr>
        <w:numPr>
          <w:ilvl w:val="0"/>
          <w:numId w:val="13"/>
        </w:numPr>
        <w:tabs>
          <w:tab w:val="left" w:pos="1633"/>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autoSpaceDE w:val="0"/>
        <w:autoSpaceDN w:val="0"/>
        <w:adjustRightInd w:val="0"/>
        <w:spacing w:after="0"/>
        <w:ind w:left="1633" w:hanging="357"/>
        <w:rPr>
          <w:rFonts w:ascii="Times New Roman" w:hAnsi="Times New Roman" w:cs="Times New Roman"/>
          <w:sz w:val="24"/>
          <w:szCs w:val="24"/>
        </w:rPr>
      </w:pPr>
      <w:r w:rsidRPr="00FE7F76">
        <w:rPr>
          <w:rFonts w:ascii="Times New Roman" w:hAnsi="Times New Roman" w:cs="Times New Roman"/>
          <w:sz w:val="24"/>
          <w:szCs w:val="24"/>
        </w:rPr>
        <w:t>wpłaty z tytułu odpłatnego nabycia prawa własności oraz prawa użytkowania wieczystego nieruchomości,</w:t>
      </w:r>
    </w:p>
    <w:p w:rsidR="00AD08A9" w:rsidRPr="00FE7F76" w:rsidRDefault="00AD08A9" w:rsidP="00AD08A9">
      <w:pPr>
        <w:numPr>
          <w:ilvl w:val="0"/>
          <w:numId w:val="13"/>
        </w:numPr>
        <w:tabs>
          <w:tab w:val="left" w:pos="1633"/>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autoSpaceDE w:val="0"/>
        <w:autoSpaceDN w:val="0"/>
        <w:adjustRightInd w:val="0"/>
        <w:spacing w:after="0"/>
        <w:ind w:left="1633" w:hanging="357"/>
        <w:rPr>
          <w:rFonts w:ascii="Times New Roman" w:hAnsi="Times New Roman" w:cs="Times New Roman"/>
          <w:sz w:val="24"/>
          <w:szCs w:val="24"/>
        </w:rPr>
      </w:pPr>
      <w:r w:rsidRPr="00FE7F76">
        <w:rPr>
          <w:rFonts w:ascii="Times New Roman" w:hAnsi="Times New Roman" w:cs="Times New Roman"/>
          <w:sz w:val="24"/>
          <w:szCs w:val="24"/>
        </w:rPr>
        <w:t>wpływy ze sprzedaży składników majątkowych.</w:t>
      </w:r>
    </w:p>
    <w:p w:rsidR="00AD08A9" w:rsidRPr="00FE7F76" w:rsidRDefault="00AD08A9" w:rsidP="00AD08A9">
      <w:pPr>
        <w:tabs>
          <w:tab w:val="left" w:pos="1633"/>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spacing w:after="0"/>
        <w:ind w:left="1633"/>
        <w:rPr>
          <w:rFonts w:ascii="Times New Roman" w:hAnsi="Times New Roman" w:cs="Times New Roman"/>
          <w:sz w:val="24"/>
          <w:szCs w:val="24"/>
        </w:rPr>
      </w:pPr>
    </w:p>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Times New Roman" w:hAnsi="Times New Roman" w:cs="Times New Roman"/>
          <w:sz w:val="24"/>
          <w:szCs w:val="24"/>
        </w:rPr>
      </w:pPr>
      <w:r w:rsidRPr="00FE7F76">
        <w:rPr>
          <w:rFonts w:ascii="Times New Roman" w:hAnsi="Times New Roman" w:cs="Times New Roman"/>
          <w:sz w:val="24"/>
          <w:szCs w:val="24"/>
        </w:rPr>
        <w:t xml:space="preserve">Dochody z powyższych tytułów ustalane są szacunkowo na podstawie analizy zasobów mienia komunalnego przeznaczonego do sprzedaży. Aktualnie Gmina posiada, przygotowanych do sprzedaży,  dziesięć działek budowlanych położonych w Dąbrówce Nowej, Sicienku oraz Wojnowie. Podjęta została również uchwała w sprawie sprzedaży budynków gospodarczych.  Jednakże w okresie kryzysu gospodarczego obserwuje się mniejsze zainteresowanie w zakresie nabycia działek budowlanych. Ogłoszone w 2012 roku dwa przetargi nie przyniosły rezultatu.  W 2013 roku  zakładana jest sprzedaż części z przygotowanych działek budowlanych oraz wolnych budynków gospodarczych. Planowane wpływy z tego tytułu wynoszą 320.000 zł.  W kolejnych latach przygotowywane będą następne tereny inwestycyjne przeznaczone do sprzedaży. Średnie wpływy ze sprzedaży majątku  na lata 2013-2017 planowane są w wysokości około 1 %.  </w:t>
      </w:r>
    </w:p>
    <w:p w:rsidR="00AD08A9" w:rsidRPr="00FE7F76" w:rsidRDefault="00AD08A9" w:rsidP="00AD08A9">
      <w:pPr>
        <w:numPr>
          <w:ilvl w:val="0"/>
          <w:numId w:val="12"/>
        </w:numP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ind w:left="720" w:hanging="360"/>
        <w:rPr>
          <w:rFonts w:ascii="Times New Roman" w:hAnsi="Times New Roman" w:cs="Times New Roman"/>
          <w:sz w:val="24"/>
          <w:szCs w:val="24"/>
        </w:rPr>
      </w:pPr>
      <w:r w:rsidRPr="00FE7F76">
        <w:rPr>
          <w:rFonts w:ascii="Times New Roman" w:hAnsi="Times New Roman" w:cs="Times New Roman"/>
          <w:sz w:val="24"/>
          <w:szCs w:val="24"/>
        </w:rPr>
        <w:t>Dotacje celowe na realizację zadań inwestycyjnych, do których zalicza się:</w:t>
      </w:r>
    </w:p>
    <w:p w:rsidR="00AD08A9" w:rsidRPr="00FE7F76" w:rsidRDefault="00AD08A9" w:rsidP="00AD08A9">
      <w:pPr>
        <w:numPr>
          <w:ilvl w:val="0"/>
          <w:numId w:val="14"/>
        </w:numPr>
        <w:tabs>
          <w:tab w:val="left" w:pos="156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autoSpaceDE w:val="0"/>
        <w:autoSpaceDN w:val="0"/>
        <w:adjustRightInd w:val="0"/>
        <w:spacing w:after="0"/>
        <w:ind w:left="1560" w:hanging="284"/>
        <w:rPr>
          <w:rFonts w:ascii="Times New Roman" w:hAnsi="Times New Roman" w:cs="Times New Roman"/>
          <w:sz w:val="24"/>
          <w:szCs w:val="24"/>
        </w:rPr>
      </w:pPr>
      <w:r w:rsidRPr="00FE7F76">
        <w:rPr>
          <w:rFonts w:ascii="Times New Roman" w:hAnsi="Times New Roman" w:cs="Times New Roman"/>
          <w:sz w:val="24"/>
          <w:szCs w:val="24"/>
        </w:rPr>
        <w:t xml:space="preserve"> dotacje celowe na zadania własne,</w:t>
      </w:r>
    </w:p>
    <w:p w:rsidR="00AD08A9" w:rsidRPr="00FE7F76" w:rsidRDefault="00AD08A9" w:rsidP="00AD08A9">
      <w:pPr>
        <w:numPr>
          <w:ilvl w:val="0"/>
          <w:numId w:val="14"/>
        </w:numPr>
        <w:tabs>
          <w:tab w:val="left" w:pos="1637"/>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autoSpaceDE w:val="0"/>
        <w:autoSpaceDN w:val="0"/>
        <w:adjustRightInd w:val="0"/>
        <w:spacing w:after="0"/>
        <w:ind w:left="1637"/>
        <w:jc w:val="both"/>
        <w:rPr>
          <w:rFonts w:ascii="Times New Roman" w:hAnsi="Times New Roman" w:cs="Times New Roman"/>
          <w:sz w:val="24"/>
          <w:szCs w:val="24"/>
        </w:rPr>
      </w:pPr>
      <w:r w:rsidRPr="00FE7F76">
        <w:rPr>
          <w:rFonts w:ascii="Times New Roman" w:hAnsi="Times New Roman" w:cs="Times New Roman"/>
          <w:sz w:val="24"/>
          <w:szCs w:val="24"/>
        </w:rPr>
        <w:t>dotacje celowe na realizację zadań zleconych i powierzonych z zakresu  administracji rządowej.</w:t>
      </w:r>
    </w:p>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 xml:space="preserve">Głównym źródłem dotacji celowych na zadania własne są środki pozyskane z budżetu Unii Europejskiej ujęte w wierszu 1.2.2 załącznika nr 1. Gmina Sicienko jest gminą wiejską położoną w centralnej części województwa kujawsko-pomorskiego. Jednym z atutów gminy </w:t>
      </w:r>
      <w:r w:rsidRPr="00FE7F76">
        <w:rPr>
          <w:rFonts w:ascii="Times New Roman" w:hAnsi="Times New Roman" w:cs="Times New Roman"/>
          <w:sz w:val="24"/>
          <w:szCs w:val="24"/>
        </w:rPr>
        <w:lastRenderedPageBreak/>
        <w:t>pod względem uwarunkowań rozwoju gminy jest jej korzystne usytuowanie w niedużej odległości od miasta Bydgoszcz, co sprawia, że Gmina staje się alternatywnym miejscem zamieszkania dla osób pracujących w Bydgoszczy. Szansą na wykorzystanie tego atutu jest zapewnienie odpowiednich warunków życia dla jej mieszkańców. Główny cel strategii rozwoju gminy Sicienko zdefiniowany został jako „Gmina o wysokim poziomie rozwoju społeczno- gospodarczego”. Cel ten jest możliwy poprzez realizację celów operacyjnych, do których  między innymi należą:</w:t>
      </w:r>
    </w:p>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 pełna i poprawnie funkcjonująca infrastruktura techniczna,</w:t>
      </w:r>
    </w:p>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 xml:space="preserve">- dobrze funkcjonująca infrastruktura społeczna, </w:t>
      </w:r>
    </w:p>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 uzbrojone tereny pod budownictwo mieszkaniowe,</w:t>
      </w:r>
    </w:p>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 ograniczenie emisji zanieczyszczeń,</w:t>
      </w:r>
    </w:p>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 podniesienie poziomu wykształcenia mieszkańców gminy.</w:t>
      </w:r>
    </w:p>
    <w:p w:rsidR="00AD08A9" w:rsidRPr="00FE7F76" w:rsidRDefault="00AD08A9" w:rsidP="00AD08A9">
      <w:pPr>
        <w:pStyle w:val="Tekstpodstawowy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 xml:space="preserve">Cele te są w pełni zgodne z zasadniczymi kierunkami rozwoju kraju proponowanymi przez Narodowy Plan Rozwoju i Narodową Strategię Rozwoju Regionalnego na lata 2007-2013, a także proponowanymi celami polityki spójności Unii Europejskiej po 2006 r.  Cele te wpisują się również w cele Strategii Rozwoju Województwa Kujawsko- Pomorskiego. Realizacja powyższych celi możliwa jest poprzez budowę i przebudowę dróg lokalnych, budowę kanalizacji sanitarnych, modernizację obiektów oświatowych, czy też kultury. Inwestycje te są dofinansowane ze środków unijnych między innymi w ramach Regionalnego Programu Operacyjnego Województwa Kujawsko-Pomorskiego, Programu Rozwoju Obszarów Wiejskich.  Gmina Sicienko realizowała projekty współfinansowane z funduszy unijnych ( w tym przedakcesyjnych), krajowych i międzynarodowych z zakresu rozwoju obszarów wiejskich. W 2013 roku planowana jest kontynuacja zadań dofinansowanych ze środków unijnych w ramach powyższych programów. Stąd też w 2013 roku planowane są dotacje celowe w ramach programów finansowanych z udziałem środków europejskich oraz środków, o których mowa w art.5 ust.1 pkt. 3 oraz ust. 3 pkt. 5 i 6 ustawy o finansach publicznych, lub płatności w ramach budżetu środków europejskich z tytułu przyznanej już pomocy na realizację takich zadań jak:  budowy kanalizacji sanitarnej wraz z przepompownią i tłoczniami ścieków z Osówca do granic miasta  Bydgoszcz , a także zagospodarowanie  i ogrodzenie terenu Domu Rolnika  oraz budowa boiska wielofunkcyjnego  w </w:t>
      </w:r>
      <w:proofErr w:type="spellStart"/>
      <w:r w:rsidRPr="00FE7F76">
        <w:rPr>
          <w:rFonts w:ascii="Times New Roman" w:hAnsi="Times New Roman" w:cs="Times New Roman"/>
          <w:sz w:val="24"/>
          <w:szCs w:val="24"/>
        </w:rPr>
        <w:t>Mochlu</w:t>
      </w:r>
      <w:proofErr w:type="spellEnd"/>
      <w:r w:rsidRPr="00FE7F76">
        <w:rPr>
          <w:rFonts w:ascii="Times New Roman" w:hAnsi="Times New Roman" w:cs="Times New Roman"/>
          <w:sz w:val="24"/>
          <w:szCs w:val="24"/>
        </w:rPr>
        <w:t xml:space="preserve">. Przewidywane jest  również pozyskanie  powyższych dotacji   na pozytywnie zweryfikowaną pod względem formalnym  aplikacje dotyczące budowy wielofunkcyjnego, ogólnodostępnego  boiska  sportowego  w Samsiecznie. Wstępną pozytywną weryfikacje uzyskał również wniosek w zakresie termomodernizacji budynków Szkoły Podstawowej w Trzemiętowie, planowaną na 2014 rok. W przypadku ogłoszenia kolejnych konkursów  w ramach Programu Rozwoju Obszarów Wiejskich 2007-2013 i Regionalnego Programu Operacyjnego Gmina Sicienko będzie wnioskować o uzyskanie środków  na realizację projektów związanych z przebudową dróg gminnych, budową kanalizacji sanitarnej  Dofinansowanie  tych  zadań  planowane  jest  w ramach programów na lata 2007 -2013, których realizacja upływa w 2015 roku, stąd dotacje te przewidywane są do 2015 roku. Na dzień dzisiejszy trudne jest określenie zadań, które będą priorytetami polityki spójności Unii </w:t>
      </w:r>
      <w:r w:rsidRPr="00FE7F76">
        <w:rPr>
          <w:rFonts w:ascii="Times New Roman" w:hAnsi="Times New Roman" w:cs="Times New Roman"/>
          <w:sz w:val="24"/>
          <w:szCs w:val="24"/>
        </w:rPr>
        <w:lastRenderedPageBreak/>
        <w:t xml:space="preserve">Europejskiej w kolejnych latach. W związku z powyższym na lata 2016-2019 nie planowano dotacji celowych w ramach programów finansowanych z udziałem środków unijnych. </w:t>
      </w:r>
    </w:p>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W latach objętych WPF nie przewiduje się dotacji celowych na realizację zadań zleconych i powierzonych z zakresu  administracji rządowej.</w:t>
      </w:r>
    </w:p>
    <w:p w:rsidR="00AD08A9" w:rsidRPr="001E69B3" w:rsidRDefault="00AD08A9" w:rsidP="00AD08A9">
      <w:pPr>
        <w:pStyle w:val="Akapitzlist"/>
        <w:numPr>
          <w:ilvl w:val="0"/>
          <w:numId w:val="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autoSpaceDN/>
        <w:adjustRightInd/>
        <w:spacing w:after="0"/>
        <w:contextualSpacing/>
        <w:jc w:val="both"/>
        <w:rPr>
          <w:rFonts w:ascii="Times New Roman" w:hAnsi="Times New Roman" w:cs="Times New Roman"/>
          <w:b/>
          <w:bCs/>
          <w:sz w:val="24"/>
          <w:szCs w:val="24"/>
        </w:rPr>
      </w:pPr>
      <w:r w:rsidRPr="001E69B3">
        <w:rPr>
          <w:rFonts w:ascii="Times New Roman" w:hAnsi="Times New Roman" w:cs="Times New Roman"/>
          <w:b/>
          <w:bCs/>
          <w:sz w:val="24"/>
          <w:szCs w:val="24"/>
        </w:rPr>
        <w:t>Wydatki</w:t>
      </w:r>
    </w:p>
    <w:p w:rsidR="00AD08A9" w:rsidRPr="00FE7F76" w:rsidRDefault="00AD08A9" w:rsidP="00AD08A9">
      <w:pP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ind w:left="720"/>
        <w:jc w:val="both"/>
        <w:rPr>
          <w:rFonts w:ascii="Times New Roman" w:hAnsi="Times New Roman" w:cs="Times New Roman"/>
          <w:b/>
          <w:bCs/>
          <w:sz w:val="24"/>
          <w:szCs w:val="24"/>
        </w:rPr>
      </w:pPr>
    </w:p>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ind w:firstLine="709"/>
        <w:jc w:val="both"/>
        <w:rPr>
          <w:rFonts w:ascii="Times New Roman" w:hAnsi="Times New Roman" w:cs="Times New Roman"/>
          <w:sz w:val="24"/>
          <w:szCs w:val="24"/>
        </w:rPr>
      </w:pPr>
      <w:r w:rsidRPr="00FE7F76">
        <w:rPr>
          <w:rFonts w:ascii="Times New Roman" w:hAnsi="Times New Roman" w:cs="Times New Roman"/>
          <w:sz w:val="24"/>
          <w:szCs w:val="24"/>
        </w:rPr>
        <w:t>Kolejnym etapem tworzenia WPF jest planowanie wydatków. W pierwszej kolejności szacowane są wydatki bieżące. Różnica między dochodami ogółem i wydatkami bieżącymi, bez uwzględniania wydatków na obsługę długu, powiększona o kwoty przychodów z tytułu nadwyżki z roku poprzedniego i wolnych środków jako nadwyżki środków pieniężnych na rachunku bieżącym budżetu, wynikającej z rozliczeń wyemitowanych papierów wartościowych,  kredytów i pożyczek z lat ubiegłych, stanowi pulę środków do dyspozycji. W pierwszej kolejności jest ona rozdysponowana na spłatę i obsługę długu a następnie na inwestycje. Planując określone w wierszu 2 załącznika nr 1 do uchwały wydatki ogółem zostały podzielone na wydatki bieżące i majątkowe.</w:t>
      </w:r>
    </w:p>
    <w:p w:rsidR="00AD08A9" w:rsidRPr="00FE7F76" w:rsidRDefault="00AD08A9" w:rsidP="00AD08A9">
      <w:pPr>
        <w:tabs>
          <w:tab w:val="left" w:pos="357"/>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ind w:left="357"/>
        <w:rPr>
          <w:rFonts w:ascii="Times New Roman" w:hAnsi="Times New Roman" w:cs="Times New Roman"/>
          <w:b/>
          <w:bCs/>
          <w:sz w:val="24"/>
          <w:szCs w:val="24"/>
        </w:rPr>
      </w:pPr>
    </w:p>
    <w:p w:rsidR="00AD08A9" w:rsidRPr="00FE7F76" w:rsidRDefault="00AD08A9" w:rsidP="00AD08A9">
      <w:pPr>
        <w:tabs>
          <w:tab w:val="left" w:pos="357"/>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after="0"/>
        <w:ind w:left="568"/>
        <w:rPr>
          <w:rFonts w:ascii="Times New Roman" w:hAnsi="Times New Roman" w:cs="Times New Roman"/>
          <w:b/>
          <w:bCs/>
          <w:sz w:val="24"/>
          <w:szCs w:val="24"/>
        </w:rPr>
      </w:pPr>
      <w:r>
        <w:rPr>
          <w:rFonts w:ascii="Times New Roman" w:hAnsi="Times New Roman" w:cs="Times New Roman"/>
          <w:b/>
          <w:bCs/>
          <w:sz w:val="24"/>
          <w:szCs w:val="24"/>
        </w:rPr>
        <w:t xml:space="preserve">4.1. </w:t>
      </w:r>
      <w:r w:rsidRPr="00FE7F76">
        <w:rPr>
          <w:rFonts w:ascii="Times New Roman" w:hAnsi="Times New Roman" w:cs="Times New Roman"/>
          <w:b/>
          <w:bCs/>
          <w:sz w:val="24"/>
          <w:szCs w:val="24"/>
        </w:rPr>
        <w:t>Wydatki bieżące</w:t>
      </w:r>
    </w:p>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p>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ind w:firstLine="709"/>
        <w:jc w:val="both"/>
        <w:rPr>
          <w:rFonts w:ascii="Times New Roman" w:hAnsi="Times New Roman" w:cs="Times New Roman"/>
          <w:sz w:val="24"/>
          <w:szCs w:val="24"/>
        </w:rPr>
      </w:pPr>
      <w:r w:rsidRPr="00FE7F76">
        <w:rPr>
          <w:rFonts w:ascii="Times New Roman" w:hAnsi="Times New Roman" w:cs="Times New Roman"/>
          <w:sz w:val="24"/>
          <w:szCs w:val="24"/>
        </w:rPr>
        <w:t>Planując ujęte w wierszu 2.1 załącznika nr 1 do uchwały  wydatki bieżące na kolejne lata objęte WPF dokonano ich podziału na następujące kategorie:</w:t>
      </w:r>
    </w:p>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ind w:firstLine="709"/>
        <w:jc w:val="both"/>
        <w:rPr>
          <w:rFonts w:ascii="Times New Roman" w:hAnsi="Times New Roman" w:cs="Times New Roman"/>
          <w:sz w:val="24"/>
          <w:szCs w:val="24"/>
        </w:rPr>
      </w:pPr>
    </w:p>
    <w:p w:rsidR="00AD08A9" w:rsidRPr="00FE7F76" w:rsidRDefault="00AD08A9" w:rsidP="00AD08A9">
      <w:pPr>
        <w:numPr>
          <w:ilvl w:val="0"/>
          <w:numId w:val="17"/>
        </w:numPr>
        <w:tabs>
          <w:tab w:val="left" w:pos="106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ind w:left="1069"/>
        <w:jc w:val="both"/>
        <w:rPr>
          <w:rFonts w:ascii="Times New Roman" w:hAnsi="Times New Roman" w:cs="Times New Roman"/>
          <w:sz w:val="24"/>
          <w:szCs w:val="24"/>
        </w:rPr>
      </w:pPr>
      <w:r w:rsidRPr="00FE7F76">
        <w:rPr>
          <w:rFonts w:ascii="Times New Roman" w:hAnsi="Times New Roman" w:cs="Times New Roman"/>
          <w:sz w:val="24"/>
          <w:szCs w:val="24"/>
        </w:rPr>
        <w:t>Wynagrodzenia i składki od nich naliczane.</w:t>
      </w:r>
    </w:p>
    <w:p w:rsidR="00AD08A9" w:rsidRPr="00FE7F76" w:rsidRDefault="00AD08A9" w:rsidP="00AD08A9">
      <w:pPr>
        <w:tabs>
          <w:tab w:val="left" w:pos="106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ind w:left="1069"/>
        <w:jc w:val="both"/>
        <w:rPr>
          <w:rFonts w:ascii="Times New Roman" w:hAnsi="Times New Roman" w:cs="Times New Roman"/>
          <w:sz w:val="24"/>
          <w:szCs w:val="24"/>
        </w:rPr>
      </w:pPr>
    </w:p>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Wydatki te zostały określone w wierszu 11.1 załącznika nr 1do uchwały. W tej grupie wydatków ujęte zostały wydatki ujęte w następujących paragrafach klasyfikacji budżetowej:</w:t>
      </w:r>
    </w:p>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 401 – wynagrodzenia osobowe,</w:t>
      </w:r>
    </w:p>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 404 – dodatkowe wynagrodzenie roczne,</w:t>
      </w:r>
    </w:p>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 411 – składki na ubezpieczenie społeczne,</w:t>
      </w:r>
    </w:p>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 412 – składki na Fundusz Pracy,</w:t>
      </w:r>
    </w:p>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 417 – wynagrodzenia bezosobowe.</w:t>
      </w:r>
    </w:p>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 xml:space="preserve">Do powyższej grupy   zostały zaliczone wydatki planowane  w rozdziale 75022 – Rady gmin oraz rozdziale 75023 – Urzędy gmin.  </w:t>
      </w:r>
    </w:p>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 xml:space="preserve">Przy kalkulowaniu wydatków na wynagrodzenie przyjęto założenia wzrostu wskaźnika wynagrodzeń określone w tabeli nr 2. W zakresie wynagrodzeń nauczycieli uwzględniono również   wahania liczby godzin wynikające z okresowego zmniejszenia liczby uczniów w szkołach, co skutkuje zmniejszeniem podziału oddziałów na grupy, a także przewidywanym zmniejszeniem liczby oddziałów w gimnazjach.  </w:t>
      </w:r>
    </w:p>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 xml:space="preserve">  </w:t>
      </w:r>
    </w:p>
    <w:p w:rsidR="00AD08A9" w:rsidRPr="00FE7F76" w:rsidRDefault="00AD08A9" w:rsidP="00AD08A9">
      <w:pPr>
        <w:numPr>
          <w:ilvl w:val="0"/>
          <w:numId w:val="17"/>
        </w:numPr>
        <w:tabs>
          <w:tab w:val="left" w:pos="106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ind w:left="1069"/>
        <w:jc w:val="both"/>
        <w:rPr>
          <w:rFonts w:ascii="Times New Roman" w:hAnsi="Times New Roman" w:cs="Times New Roman"/>
          <w:sz w:val="24"/>
          <w:szCs w:val="24"/>
        </w:rPr>
      </w:pPr>
      <w:r w:rsidRPr="00FE7F76">
        <w:rPr>
          <w:rFonts w:ascii="Times New Roman" w:hAnsi="Times New Roman" w:cs="Times New Roman"/>
          <w:sz w:val="24"/>
          <w:szCs w:val="24"/>
        </w:rPr>
        <w:t>Wydatki związane z funkcjonowaniem organów jednostki samorządu terytorialnego.</w:t>
      </w:r>
    </w:p>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p>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lastRenderedPageBreak/>
        <w:t xml:space="preserve">W tej kategorii wydatków ujęte zostały wydatki bieżące i majątkowe planowane w rozdziale 75022 – Rady gmin oraz rozdziale 75023 – Urzędy gmin.  Zostały one określone w wierszu 11.2 załącznika nr 1 do uchwały. Przy kalkulowaniu w tym zakresie środków na 2012 rok wprowadzono działania oszczędnościowe dotyczące wydatków stałych. Działania  oszczędnościowe  przewidywane  są  również  w  latach  następnych  w  związku z tym  przyjęto  wzrost wydatków rzeczowych w tych rozdziałach o wskaźnik inflacji. W zakresie wydatków osobowych w 2013 roku   przewiduje się 2,7 % wzrostu wynagrodzeń. W kolejnych  latach  zakładany  jest wzrost o przyjęty wskaźnik wzrostu wynagrodzeń określony w tabeli nr 2.   </w:t>
      </w:r>
    </w:p>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p>
    <w:p w:rsidR="00AD08A9" w:rsidRPr="00FE7F76" w:rsidRDefault="00AD08A9" w:rsidP="00AD08A9">
      <w:pPr>
        <w:numPr>
          <w:ilvl w:val="0"/>
          <w:numId w:val="17"/>
        </w:numPr>
        <w:tabs>
          <w:tab w:val="left" w:pos="106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ind w:left="1069"/>
        <w:jc w:val="both"/>
        <w:rPr>
          <w:rFonts w:ascii="Times New Roman" w:hAnsi="Times New Roman" w:cs="Times New Roman"/>
          <w:sz w:val="24"/>
          <w:szCs w:val="24"/>
        </w:rPr>
      </w:pPr>
      <w:r w:rsidRPr="00FE7F76">
        <w:rPr>
          <w:rFonts w:ascii="Times New Roman" w:hAnsi="Times New Roman" w:cs="Times New Roman"/>
          <w:sz w:val="24"/>
          <w:szCs w:val="24"/>
        </w:rPr>
        <w:t>Wydatki na projekty realizowane z udziałem środków, o których mowa w art.5 ust 1 pkt.2 ustawy o finansach publicznych</w:t>
      </w:r>
    </w:p>
    <w:p w:rsidR="00AD08A9" w:rsidRPr="00FE7F76" w:rsidRDefault="00AD08A9" w:rsidP="00AD08A9">
      <w:pPr>
        <w:tabs>
          <w:tab w:val="left" w:pos="106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ind w:left="1069"/>
        <w:jc w:val="both"/>
        <w:rPr>
          <w:rFonts w:ascii="Times New Roman" w:hAnsi="Times New Roman" w:cs="Times New Roman"/>
          <w:sz w:val="24"/>
          <w:szCs w:val="24"/>
        </w:rPr>
      </w:pPr>
    </w:p>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W ramach wydatków w tej kategorii przyjęte są wydatki na realizację programów finansowanych z udziałem środków europejskich dotyczących projektów bieżących realizowanych w ramach Programu Operacyjnego Kapitał Ludzki. Zostały one określone w wierszu 12.3   załącznika nr 1 do uchwały.  Przedsięwzięciem w tym zakresie jest planowany do realizacji  w 2013 roku, w ramach rozwoju i upowszechniania aktywnej integracji, przez Gminny Ośrodek Pomocy Społecznej, projekt Wyjść z cienia oraz realizowany wspólnie z Urzędem Marszałkowskim projekt „Zakup tablic interaktywnych dla oddziałów IV-VI szkół podstawowych województwo kujawsko-pomorskiego”.</w:t>
      </w:r>
    </w:p>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p>
    <w:p w:rsidR="00AD08A9" w:rsidRPr="00FE7F76" w:rsidRDefault="00AD08A9" w:rsidP="00AD08A9">
      <w:pPr>
        <w:numPr>
          <w:ilvl w:val="0"/>
          <w:numId w:val="17"/>
        </w:numPr>
        <w:tabs>
          <w:tab w:val="left" w:pos="106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ind w:left="1069"/>
        <w:jc w:val="both"/>
        <w:rPr>
          <w:rFonts w:ascii="Times New Roman" w:hAnsi="Times New Roman" w:cs="Times New Roman"/>
          <w:sz w:val="24"/>
          <w:szCs w:val="24"/>
        </w:rPr>
      </w:pPr>
      <w:r w:rsidRPr="00FE7F76">
        <w:rPr>
          <w:rFonts w:ascii="Times New Roman" w:hAnsi="Times New Roman" w:cs="Times New Roman"/>
          <w:sz w:val="24"/>
          <w:szCs w:val="24"/>
        </w:rPr>
        <w:t>Pozostałe wydatki bieżące</w:t>
      </w:r>
    </w:p>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rPr>
          <w:rFonts w:ascii="Times New Roman" w:hAnsi="Times New Roman" w:cs="Times New Roman"/>
          <w:sz w:val="24"/>
          <w:szCs w:val="24"/>
        </w:rPr>
      </w:pPr>
    </w:p>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 xml:space="preserve"> W ramach pozostałych wydatków bieżących planowane są środki na wydatki rzeczowe, w tym dotacje celowe dla podmiotów należących do sektora finansów publicznych i nienależących do sektora finansów publicznych realizujących zadania należące do zadań własnych gminy. W tej kategorii wydatków planowane są również dotacje przedmiotowe dla samorządowych instytucji kultury, tj. dla Gminnego Ośrodka Kultury oraz Gminnej Biblioteki Publicznej. W tej kategorii w 2013 roku planowane są również dotacje przedmiotowe podmiotów należących do sektora finansów publicznych i nienależących do sektora finansów publicznych na dofinansowanie kosztów zrzutu odpadów ciekłych. W 2013 roku zakładany jest niewielki wzrost tych wydatków w stosunku do przewidywanego wykonania 2012 roku. Powyższe wynika z wprowadzonych działań oszczędnościowych. Przeprowadzone w ostatnich latach dwie inwestycje w zakresie termomodernizacji budynków szkolnych przynoszą rezultaty w oszczędnościach wydatków na energię. Na taki stan rzeczy  wpływ ma  również fakt uzyskania niższych środków na realizacje zadań zleconych. W celu zapewnienia  wszystkich najistotniejszych potrzeb czynione będą starania o pozyskanie dodatkowych środków. W kolejnych latach przewidywana jest kontynuacja działań oszczędnościowych. W związku z tym, zakładany jest wzrost stałych wydatków rzeczowych poniżej wskaźnika inflacji określonego w tabeli nr 1. Uwzględniono również </w:t>
      </w:r>
      <w:r w:rsidRPr="00FE7F76">
        <w:rPr>
          <w:rFonts w:ascii="Times New Roman" w:hAnsi="Times New Roman" w:cs="Times New Roman"/>
          <w:sz w:val="24"/>
          <w:szCs w:val="24"/>
        </w:rPr>
        <w:lastRenderedPageBreak/>
        <w:t xml:space="preserve">okresowe zwiększenie lub zmniejszenie  wydatków w zakresie przewidywanych remontów bieżących. </w:t>
      </w:r>
    </w:p>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p>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ind w:firstLine="708"/>
        <w:jc w:val="both"/>
        <w:rPr>
          <w:rFonts w:ascii="Times New Roman" w:hAnsi="Times New Roman" w:cs="Times New Roman"/>
          <w:b/>
          <w:bCs/>
          <w:sz w:val="24"/>
          <w:szCs w:val="24"/>
        </w:rPr>
      </w:pPr>
      <w:r w:rsidRPr="00FE7F76">
        <w:rPr>
          <w:rFonts w:ascii="Times New Roman" w:hAnsi="Times New Roman" w:cs="Times New Roman"/>
          <w:b/>
          <w:bCs/>
          <w:sz w:val="24"/>
          <w:szCs w:val="24"/>
        </w:rPr>
        <w:t>4.2 Wydatki majątkowe</w:t>
      </w:r>
    </w:p>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ind w:firstLine="708"/>
        <w:jc w:val="both"/>
        <w:rPr>
          <w:rFonts w:ascii="Times New Roman" w:hAnsi="Times New Roman" w:cs="Times New Roman"/>
          <w:sz w:val="24"/>
          <w:szCs w:val="24"/>
        </w:rPr>
      </w:pPr>
      <w:r w:rsidRPr="00FE7F76">
        <w:rPr>
          <w:rFonts w:ascii="Times New Roman" w:hAnsi="Times New Roman" w:cs="Times New Roman"/>
          <w:sz w:val="24"/>
          <w:szCs w:val="24"/>
        </w:rPr>
        <w:t xml:space="preserve">Wydatki majątkowe planowane do realizacji w okresie obowiązywania WPF zostały ujęte w wierszu 2,2  załącznika nr 1 do uchwały.  W ramach tych wydatków wyodrębnione zostały wydatki majątkowe na przedsięwzięcia, o których mowa w art. 226 ust 4 oraz na projekty realizowane  przy udziale środków, o których mowa w art. 5 ust 1 </w:t>
      </w:r>
      <w:proofErr w:type="spellStart"/>
      <w:r w:rsidRPr="00FE7F76">
        <w:rPr>
          <w:rFonts w:ascii="Times New Roman" w:hAnsi="Times New Roman" w:cs="Times New Roman"/>
          <w:sz w:val="24"/>
          <w:szCs w:val="24"/>
        </w:rPr>
        <w:t>pkt</w:t>
      </w:r>
      <w:proofErr w:type="spellEnd"/>
      <w:r w:rsidRPr="00FE7F76">
        <w:rPr>
          <w:rFonts w:ascii="Times New Roman" w:hAnsi="Times New Roman" w:cs="Times New Roman"/>
          <w:sz w:val="24"/>
          <w:szCs w:val="24"/>
        </w:rPr>
        <w:t xml:space="preserve"> 2 ustawy o finansach publicznych. Różnicę pomiędzy wydatkami majątkowymi określonymi w wierszu 2.2 a wydatkami określonymi w wierszu 11.3.2   stanowią pozostałe wydatki majątkowe.</w:t>
      </w:r>
    </w:p>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ind w:firstLine="708"/>
        <w:jc w:val="both"/>
        <w:rPr>
          <w:rFonts w:ascii="Times New Roman" w:hAnsi="Times New Roman" w:cs="Times New Roman"/>
          <w:sz w:val="24"/>
          <w:szCs w:val="24"/>
        </w:rPr>
      </w:pPr>
    </w:p>
    <w:p w:rsidR="00AD08A9" w:rsidRPr="00FE7F76" w:rsidRDefault="00AD08A9" w:rsidP="00AD08A9">
      <w:pPr>
        <w:numPr>
          <w:ilvl w:val="0"/>
          <w:numId w:val="18"/>
        </w:numPr>
        <w:tabs>
          <w:tab w:val="left"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jc w:val="both"/>
        <w:rPr>
          <w:rFonts w:ascii="Times New Roman" w:hAnsi="Times New Roman" w:cs="Times New Roman"/>
          <w:sz w:val="24"/>
          <w:szCs w:val="24"/>
        </w:rPr>
      </w:pPr>
      <w:r w:rsidRPr="00FE7F76">
        <w:rPr>
          <w:rFonts w:ascii="Times New Roman" w:hAnsi="Times New Roman" w:cs="Times New Roman"/>
          <w:sz w:val="24"/>
          <w:szCs w:val="24"/>
        </w:rPr>
        <w:t>Wydatki majątkowe na przedsięwzięcia, o których mowa w art. 226 ust 4 ustawy o finansach publicznych.</w:t>
      </w:r>
    </w:p>
    <w:p w:rsidR="00AD08A9" w:rsidRPr="00FE7F76" w:rsidRDefault="00AD08A9" w:rsidP="00AD08A9">
      <w:pPr>
        <w:tabs>
          <w:tab w:val="left"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ind w:left="1068"/>
        <w:jc w:val="both"/>
        <w:rPr>
          <w:rFonts w:ascii="Times New Roman" w:hAnsi="Times New Roman" w:cs="Times New Roman"/>
          <w:sz w:val="24"/>
          <w:szCs w:val="24"/>
        </w:rPr>
      </w:pPr>
    </w:p>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Łączna kwota wydatków na realizację powyższych przedsięwzięć została określona w wierszu 11.3.2 załącznika nr 1 do uchwały. Kwota ta jest zgodna z wysokością wydatków majątkowych określonych   w  załączniku  nr 2 do uchwały, określającego przedsięwzięcia realizowane w latach 2012-2019 ( pkt. 1).  Załącznik nr 2 określa również szczegółowy wykaz planowanych przedsięwzięć. Planowane    projekty    mają za zadanie realizację celów strategicznych zmierzających do osiągnięcia głównego celu Strategii rozwoju gminy Sicienko, jakim jest „Gmina o wysokim poziomie rozwoju społeczno- gospodarczego”.  Inwestycje te wpływają na poprawę jakości życia mieszkańców. Zmierzają do poprawy jakości  infrastruktury drogowej oraz infrastruktury społecznej. Wpływają też na podniesienie poziomu wykształcenia mieszkańców gminy. Planowane do realizacji zadania wpływają pozytywnie na otaczające nas środowisko przyrodnicze poprzez ograniczenie emisji zanieczyszczeń.  Na realizację tych zadań Gmina przewiduje pozyskanie środków europejskich, jednakże aktualnie nie posiada na ich współfinansowanie zawartych umów.</w:t>
      </w:r>
    </w:p>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 xml:space="preserve">Możliwość dofinansowani tych projektów z powyższych programów wynika z faktu, iż realizują one cele, które  są w pełni zgodne z zasadniczymi kierunkami rozwoju kraju proponowanymi przez Narodowy Plan Rozwoju i Narodową Strategię Rozwoju Regionalnego na lata 2007-2013, a także proponowanymi celami polityki spójności Unii Europejskiej po 2006 r. </w:t>
      </w:r>
    </w:p>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 xml:space="preserve">Przewidywane do realizacji projekty zmierzają do realizacji głównego celu Strategii rozwoju gminy. Wpływają one na poprawę infrastruktury drogowej na terenie gminy. Przyczyniają się do ochrony środowiska oraz uzbrojenia terenów pod budownictwo mieszkaniowe. Zadania te są niezbędne do realizacji w celu poprawy jakości życia mieszkańców gminy. </w:t>
      </w:r>
    </w:p>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p>
    <w:p w:rsidR="00AD08A9" w:rsidRPr="00FE7F76" w:rsidRDefault="00AD08A9" w:rsidP="00AD08A9">
      <w:pPr>
        <w:numPr>
          <w:ilvl w:val="0"/>
          <w:numId w:val="18"/>
        </w:numPr>
        <w:tabs>
          <w:tab w:val="left"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jc w:val="both"/>
        <w:rPr>
          <w:rFonts w:ascii="Times New Roman" w:hAnsi="Times New Roman" w:cs="Times New Roman"/>
          <w:sz w:val="24"/>
          <w:szCs w:val="24"/>
        </w:rPr>
      </w:pPr>
      <w:r w:rsidRPr="00FE7F76">
        <w:rPr>
          <w:rFonts w:ascii="Times New Roman" w:hAnsi="Times New Roman" w:cs="Times New Roman"/>
          <w:sz w:val="24"/>
          <w:szCs w:val="24"/>
        </w:rPr>
        <w:t xml:space="preserve">Wydatki majątkowe na projekty realizowane  przy udziale środków, o których mowa w art. 5 ust 1 </w:t>
      </w:r>
      <w:proofErr w:type="spellStart"/>
      <w:r w:rsidRPr="00FE7F76">
        <w:rPr>
          <w:rFonts w:ascii="Times New Roman" w:hAnsi="Times New Roman" w:cs="Times New Roman"/>
          <w:sz w:val="24"/>
          <w:szCs w:val="24"/>
        </w:rPr>
        <w:t>pkt</w:t>
      </w:r>
      <w:proofErr w:type="spellEnd"/>
      <w:r w:rsidRPr="00FE7F76">
        <w:rPr>
          <w:rFonts w:ascii="Times New Roman" w:hAnsi="Times New Roman" w:cs="Times New Roman"/>
          <w:sz w:val="24"/>
          <w:szCs w:val="24"/>
        </w:rPr>
        <w:t xml:space="preserve"> 2 ustawy o finansach publicznych.</w:t>
      </w:r>
    </w:p>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 xml:space="preserve">W ramach powyższego w 2013 roku planowana jest realizacja  inwestycji współfinansowanych w ramach Regionalnego Programu Operacyjnego Województwa </w:t>
      </w:r>
      <w:r w:rsidRPr="00FE7F76">
        <w:rPr>
          <w:rFonts w:ascii="Times New Roman" w:hAnsi="Times New Roman" w:cs="Times New Roman"/>
          <w:sz w:val="24"/>
          <w:szCs w:val="24"/>
        </w:rPr>
        <w:lastRenderedPageBreak/>
        <w:t xml:space="preserve">Kujawsko- Pomorskiego (RPO) oraz   Programu Rozwoju Obszarów Wiejskich (PROW).    na lata 2007-2013.  Łączna wysokość wydatków na projekty planowane do realizacji przy udziale tych środków  ujęta została w wierszu 12.4  załącznika  nr 1 do uchwały.   Cele te wpisują się również w cele Strategii Rozwoju Województw Kujawsko- Pomorskiego. W 2013 roku planowana jest realizacja zadań, na które zostały podpisane umowy dotyczące ich dofinansowania w ramach powyższych programów lub złożone przez Gminę aplikacje zostały  pozytywnie zweryfikowane pod względem formalnym. </w:t>
      </w:r>
    </w:p>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 xml:space="preserve">W przypadku niepozyskania środków na dofinansowanie tych zadań z powyższych programów, czynione będą starania o pozyskanie środków z innych źródeł lub preferencyjnych kredytów i pożyczek. </w:t>
      </w:r>
    </w:p>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p>
    <w:p w:rsidR="00AD08A9" w:rsidRPr="00FE7F76" w:rsidRDefault="00AD08A9" w:rsidP="00AD08A9">
      <w:pPr>
        <w:numPr>
          <w:ilvl w:val="0"/>
          <w:numId w:val="18"/>
        </w:numPr>
        <w:tabs>
          <w:tab w:val="left"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jc w:val="both"/>
        <w:rPr>
          <w:rFonts w:ascii="Times New Roman" w:hAnsi="Times New Roman" w:cs="Times New Roman"/>
          <w:sz w:val="24"/>
          <w:szCs w:val="24"/>
        </w:rPr>
      </w:pPr>
      <w:r w:rsidRPr="00FE7F76">
        <w:rPr>
          <w:rFonts w:ascii="Times New Roman" w:hAnsi="Times New Roman" w:cs="Times New Roman"/>
          <w:sz w:val="24"/>
          <w:szCs w:val="24"/>
        </w:rPr>
        <w:t>Pozostałe wydatki majątkowe.</w:t>
      </w:r>
    </w:p>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p>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ab/>
        <w:t xml:space="preserve">   W ramach pozostałych  wydatków stanowiących różnicę między wielkościami  określonymi w wierszu 2.2 załącznika nr 1 a wykazanymi w wierszu 11.3.2 oraz 12.4 tegoż załącznika ujęte zostały nakłady na inwestycje realizowane w danym roku budżetowym, a także planowane zakupy inwestycyjne. W 2013 roku planowane środki w tym zakresie dotyczą również zadań wskazanych do realizacji w ramach wyodrębnionych środków Funduszu Sołeckiego.</w:t>
      </w:r>
    </w:p>
    <w:p w:rsidR="00AD08A9" w:rsidRPr="00FE7F76"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p>
    <w:p w:rsidR="00AD08A9" w:rsidRPr="001E69B3" w:rsidRDefault="00AD08A9" w:rsidP="00AD08A9">
      <w:pPr>
        <w:pStyle w:val="Akapitzlist"/>
        <w:numPr>
          <w:ilvl w:val="0"/>
          <w:numId w:val="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autoSpaceDN/>
        <w:adjustRightInd/>
        <w:spacing w:after="0"/>
        <w:contextualSpacing/>
        <w:jc w:val="both"/>
        <w:rPr>
          <w:rFonts w:ascii="Times New Roman" w:hAnsi="Times New Roman" w:cs="Times New Roman"/>
          <w:b/>
          <w:bCs/>
          <w:sz w:val="28"/>
          <w:szCs w:val="24"/>
        </w:rPr>
      </w:pPr>
      <w:r w:rsidRPr="001E69B3">
        <w:rPr>
          <w:rFonts w:ascii="Times New Roman" w:hAnsi="Times New Roman" w:cs="Times New Roman"/>
          <w:sz w:val="28"/>
          <w:szCs w:val="24"/>
        </w:rPr>
        <w:t xml:space="preserve"> </w:t>
      </w:r>
      <w:r w:rsidRPr="001E69B3">
        <w:rPr>
          <w:rFonts w:ascii="Times New Roman" w:hAnsi="Times New Roman" w:cs="Times New Roman"/>
          <w:b/>
          <w:bCs/>
          <w:sz w:val="28"/>
          <w:szCs w:val="24"/>
        </w:rPr>
        <w:t>Analiza kwoty długu</w:t>
      </w:r>
    </w:p>
    <w:p w:rsidR="00AD08A9" w:rsidRPr="001E69B3" w:rsidRDefault="00AD08A9" w:rsidP="00AD08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Cs w:val="24"/>
        </w:rPr>
      </w:pPr>
    </w:p>
    <w:p w:rsidR="00AD08A9" w:rsidRPr="00FE7F76" w:rsidRDefault="00AD08A9" w:rsidP="00AD08A9">
      <w:pPr>
        <w:pStyle w:val="Tekstpodstawowy"/>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431"/>
        <w:jc w:val="both"/>
        <w:rPr>
          <w:rFonts w:ascii="Times New Roman" w:hAnsi="Times New Roman" w:cs="Times New Roman"/>
          <w:sz w:val="24"/>
          <w:szCs w:val="24"/>
        </w:rPr>
      </w:pPr>
      <w:r w:rsidRPr="00FE7F76">
        <w:rPr>
          <w:rFonts w:ascii="Times New Roman" w:hAnsi="Times New Roman" w:cs="Times New Roman"/>
          <w:sz w:val="24"/>
          <w:szCs w:val="24"/>
        </w:rPr>
        <w:t>Planowana kwota długu na koniec 2012 roku wynosi 7.281.336,80 zł. Natomiast przewidywane zadłużenie gminy Sicienko na koniec 2013 wynosi 5.891.929,97 zł. Zostało ono wykazane w wierszu 6 załącznika nr 1 do uchwały.  Na powyższą kwotę składają się:</w:t>
      </w:r>
    </w:p>
    <w:p w:rsidR="00AD08A9" w:rsidRPr="00FE7F76" w:rsidRDefault="00AD08A9" w:rsidP="00AD08A9">
      <w:pPr>
        <w:pStyle w:val="Tekstpodstawowy"/>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Times New Roman" w:hAnsi="Times New Roman" w:cs="Times New Roman"/>
          <w:sz w:val="24"/>
          <w:szCs w:val="24"/>
        </w:rPr>
      </w:pPr>
      <w:r w:rsidRPr="00FE7F76">
        <w:rPr>
          <w:rFonts w:ascii="Times New Roman" w:hAnsi="Times New Roman" w:cs="Times New Roman"/>
          <w:sz w:val="24"/>
          <w:szCs w:val="24"/>
        </w:rPr>
        <w:t>1)  pożyczki zaciągnięte w  Wojewódzkim Funduszu Ochrony Środowiska i Gospodarki Wodnej na:</w:t>
      </w:r>
    </w:p>
    <w:p w:rsidR="00AD08A9" w:rsidRPr="00FE7F76" w:rsidRDefault="00AD08A9" w:rsidP="00AD08A9">
      <w:pPr>
        <w:pStyle w:val="Tekstpodstawowywcity"/>
        <w:numPr>
          <w:ilvl w:val="0"/>
          <w:numId w:val="19"/>
        </w:numPr>
        <w:tabs>
          <w:tab w:val="left" w:pos="7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sz w:val="24"/>
          <w:szCs w:val="24"/>
        </w:rPr>
      </w:pPr>
      <w:proofErr w:type="spellStart"/>
      <w:r w:rsidRPr="00FE7F76">
        <w:rPr>
          <w:rFonts w:ascii="Times New Roman" w:hAnsi="Times New Roman" w:cs="Times New Roman"/>
          <w:sz w:val="24"/>
          <w:szCs w:val="24"/>
        </w:rPr>
        <w:t>docieplenie</w:t>
      </w:r>
      <w:proofErr w:type="spellEnd"/>
      <w:r w:rsidRPr="00FE7F76">
        <w:rPr>
          <w:rFonts w:ascii="Times New Roman" w:hAnsi="Times New Roman" w:cs="Times New Roman"/>
          <w:sz w:val="24"/>
          <w:szCs w:val="24"/>
        </w:rPr>
        <w:t xml:space="preserve"> budynku wraz z kolorystyką elewacji i wymiana stolarki okiennej i drzwiowej Zespołu Szkół w Sicienku  w wysokości 141.512 zł,</w:t>
      </w:r>
    </w:p>
    <w:p w:rsidR="00AD08A9" w:rsidRPr="00FE7F76" w:rsidRDefault="00AD08A9" w:rsidP="00AD08A9">
      <w:pPr>
        <w:pStyle w:val="Tekstpodstawowywcity"/>
        <w:numPr>
          <w:ilvl w:val="0"/>
          <w:numId w:val="19"/>
        </w:numPr>
        <w:tabs>
          <w:tab w:val="left" w:pos="7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sz w:val="24"/>
          <w:szCs w:val="24"/>
        </w:rPr>
      </w:pPr>
      <w:r w:rsidRPr="00FE7F76">
        <w:rPr>
          <w:rFonts w:ascii="Times New Roman" w:hAnsi="Times New Roman" w:cs="Times New Roman"/>
          <w:sz w:val="24"/>
          <w:szCs w:val="24"/>
        </w:rPr>
        <w:t>remont wraz z rozbudową ujęcia wody w Wojnowie i Osówcu oraz budowa magistrali wodociągowej z Wojnowa do Osówca I etap w kwocie 535.300 zł,</w:t>
      </w:r>
    </w:p>
    <w:p w:rsidR="00AD08A9" w:rsidRPr="00FE7F76" w:rsidRDefault="00AD08A9" w:rsidP="00AD08A9">
      <w:pPr>
        <w:pStyle w:val="Tekstpodstawowywcity"/>
        <w:numPr>
          <w:ilvl w:val="0"/>
          <w:numId w:val="19"/>
        </w:numPr>
        <w:tabs>
          <w:tab w:val="left" w:pos="7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sz w:val="24"/>
          <w:szCs w:val="24"/>
        </w:rPr>
      </w:pPr>
      <w:r w:rsidRPr="00FE7F76">
        <w:rPr>
          <w:rFonts w:ascii="Times New Roman" w:hAnsi="Times New Roman" w:cs="Times New Roman"/>
          <w:sz w:val="24"/>
          <w:szCs w:val="24"/>
        </w:rPr>
        <w:t>budowę magistrali wodociągowej w miejscowości Osówiec II etap w wysokości 40.510 zł,</w:t>
      </w:r>
    </w:p>
    <w:p w:rsidR="00AD08A9" w:rsidRPr="00FE7F76" w:rsidRDefault="00AD08A9" w:rsidP="00AD08A9">
      <w:pPr>
        <w:pStyle w:val="Tekstpodstawowywcity"/>
        <w:numPr>
          <w:ilvl w:val="0"/>
          <w:numId w:val="19"/>
        </w:numPr>
        <w:tabs>
          <w:tab w:val="left" w:pos="7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sz w:val="24"/>
          <w:szCs w:val="24"/>
        </w:rPr>
      </w:pPr>
      <w:r w:rsidRPr="00FE7F76">
        <w:rPr>
          <w:rFonts w:ascii="Times New Roman" w:hAnsi="Times New Roman" w:cs="Times New Roman"/>
          <w:sz w:val="24"/>
          <w:szCs w:val="24"/>
        </w:rPr>
        <w:t>budowę magistrali wodociągowej w miejscowości Osówiec III etap w kwocie 323.750 zł;</w:t>
      </w:r>
    </w:p>
    <w:p w:rsidR="00AD08A9" w:rsidRPr="00FE7F76" w:rsidRDefault="00AD08A9" w:rsidP="00AD08A9">
      <w:pPr>
        <w:pStyle w:val="Tekstpodstawowywcity"/>
        <w:numPr>
          <w:ilvl w:val="0"/>
          <w:numId w:val="19"/>
        </w:numPr>
        <w:tabs>
          <w:tab w:val="left" w:pos="7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sz w:val="24"/>
          <w:szCs w:val="24"/>
        </w:rPr>
      </w:pPr>
      <w:r w:rsidRPr="00FE7F76">
        <w:rPr>
          <w:rFonts w:ascii="Times New Roman" w:hAnsi="Times New Roman" w:cs="Times New Roman"/>
          <w:sz w:val="24"/>
          <w:szCs w:val="24"/>
        </w:rPr>
        <w:t xml:space="preserve">termomodernizację budynków Zespołu Szkół w Wojnowie w wysokości 130.000 zł, </w:t>
      </w:r>
    </w:p>
    <w:p w:rsidR="00AD08A9" w:rsidRPr="00FE7F76" w:rsidRDefault="00AD08A9" w:rsidP="00AD08A9">
      <w:pPr>
        <w:pStyle w:val="Tekstpodstawowywcity"/>
        <w:numPr>
          <w:ilvl w:val="0"/>
          <w:numId w:val="19"/>
        </w:numPr>
        <w:tabs>
          <w:tab w:val="left" w:pos="7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sz w:val="24"/>
          <w:szCs w:val="24"/>
        </w:rPr>
      </w:pPr>
      <w:r w:rsidRPr="00FE7F76">
        <w:rPr>
          <w:rFonts w:ascii="Times New Roman" w:hAnsi="Times New Roman" w:cs="Times New Roman"/>
          <w:sz w:val="24"/>
          <w:szCs w:val="24"/>
        </w:rPr>
        <w:t>budowę kanalizacji sanitarnej w miejscowości Pawłówek w kwocie 110.500 zł,</w:t>
      </w:r>
    </w:p>
    <w:p w:rsidR="00AD08A9" w:rsidRPr="00FE7F76" w:rsidRDefault="00AD08A9" w:rsidP="00AD08A9">
      <w:pPr>
        <w:pStyle w:val="Tekstpodstawowywcity"/>
        <w:numPr>
          <w:ilvl w:val="0"/>
          <w:numId w:val="19"/>
        </w:numPr>
        <w:tabs>
          <w:tab w:val="left" w:pos="7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sz w:val="24"/>
          <w:szCs w:val="24"/>
        </w:rPr>
      </w:pPr>
      <w:r w:rsidRPr="00FE7F76">
        <w:rPr>
          <w:rFonts w:ascii="Times New Roman" w:hAnsi="Times New Roman" w:cs="Times New Roman"/>
          <w:sz w:val="24"/>
          <w:szCs w:val="24"/>
        </w:rPr>
        <w:t>budowa kanalizacji sanitarnej wraz z przepompownią i tłoczniami ścieków z Osówca do granic miasta  Bydgoszcz 600.000 zł;</w:t>
      </w:r>
    </w:p>
    <w:p w:rsidR="00AD08A9" w:rsidRPr="00FE7F76" w:rsidRDefault="00AD08A9" w:rsidP="00AD08A9">
      <w:pPr>
        <w:pStyle w:val="Tekstpodstawowywcity"/>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imes New Roman" w:hAnsi="Times New Roman" w:cs="Times New Roman"/>
          <w:sz w:val="24"/>
          <w:szCs w:val="24"/>
        </w:rPr>
      </w:pPr>
    </w:p>
    <w:p w:rsidR="00AD08A9" w:rsidRPr="00FE7F76" w:rsidRDefault="00AD08A9" w:rsidP="00AD08A9">
      <w:pPr>
        <w:pStyle w:val="Tekstpodstawowywcity"/>
        <w:numPr>
          <w:ilvl w:val="0"/>
          <w:numId w:val="20"/>
        </w:numPr>
        <w:tabs>
          <w:tab w:val="left" w:pos="48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after="0" w:line="240" w:lineRule="auto"/>
        <w:jc w:val="both"/>
        <w:rPr>
          <w:rFonts w:ascii="Times New Roman" w:hAnsi="Times New Roman" w:cs="Times New Roman"/>
          <w:sz w:val="24"/>
          <w:szCs w:val="24"/>
        </w:rPr>
      </w:pPr>
      <w:r w:rsidRPr="00FE7F76">
        <w:rPr>
          <w:rFonts w:ascii="Times New Roman" w:hAnsi="Times New Roman" w:cs="Times New Roman"/>
          <w:sz w:val="24"/>
          <w:szCs w:val="24"/>
        </w:rPr>
        <w:t>długoterminowe kredyty bankowe zaciągnięte na:</w:t>
      </w:r>
    </w:p>
    <w:p w:rsidR="00AD08A9" w:rsidRPr="00FE7F76" w:rsidRDefault="00AD08A9" w:rsidP="00AD08A9">
      <w:pPr>
        <w:pStyle w:val="Tekstpodstawowywcity"/>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720"/>
        <w:rPr>
          <w:rFonts w:ascii="Times New Roman" w:hAnsi="Times New Roman" w:cs="Times New Roman"/>
          <w:sz w:val="24"/>
          <w:szCs w:val="24"/>
        </w:rPr>
      </w:pPr>
    </w:p>
    <w:p w:rsidR="00AD08A9" w:rsidRPr="00FE7F76" w:rsidRDefault="00AD08A9" w:rsidP="00AD08A9">
      <w:pPr>
        <w:pStyle w:val="Tekstpodstawowywcity"/>
        <w:tabs>
          <w:tab w:val="left" w:pos="1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Times New Roman" w:hAnsi="Times New Roman" w:cs="Times New Roman"/>
          <w:sz w:val="24"/>
          <w:szCs w:val="24"/>
        </w:rPr>
      </w:pPr>
      <w:r w:rsidRPr="00FE7F76">
        <w:rPr>
          <w:rFonts w:ascii="Times New Roman" w:hAnsi="Times New Roman" w:cs="Times New Roman"/>
          <w:sz w:val="24"/>
          <w:szCs w:val="24"/>
        </w:rPr>
        <w:t xml:space="preserve">     -     sfinansowanie deficytu 2009 i 2010 roku  w łącznej wysokości 1.693.757,92 zł,</w:t>
      </w:r>
    </w:p>
    <w:p w:rsidR="00AD08A9" w:rsidRPr="00FE7F76" w:rsidRDefault="00AD08A9" w:rsidP="00AD08A9">
      <w:pPr>
        <w:pStyle w:val="Tekstpodstawowywcity"/>
        <w:tabs>
          <w:tab w:val="left" w:pos="1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Times New Roman" w:hAnsi="Times New Roman" w:cs="Times New Roman"/>
          <w:sz w:val="24"/>
          <w:szCs w:val="24"/>
        </w:rPr>
      </w:pPr>
      <w:r w:rsidRPr="00FE7F76">
        <w:rPr>
          <w:rFonts w:ascii="Times New Roman" w:hAnsi="Times New Roman" w:cs="Times New Roman"/>
          <w:sz w:val="24"/>
          <w:szCs w:val="24"/>
        </w:rPr>
        <w:t xml:space="preserve">     -   spłatę wcześniej zaciągniętych zobowiązań z tytułu kredytów i pożyczek w kwocie 2.316.600,05 zł.</w:t>
      </w:r>
    </w:p>
    <w:p w:rsidR="00AD08A9" w:rsidRPr="00FE7F76" w:rsidRDefault="00AD08A9" w:rsidP="00AD08A9">
      <w:pPr>
        <w:pStyle w:val="Tekstpodstawowywcity"/>
        <w:tabs>
          <w:tab w:val="left" w:pos="1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Times New Roman" w:hAnsi="Times New Roman" w:cs="Times New Roman"/>
          <w:color w:val="FF0000"/>
          <w:sz w:val="24"/>
          <w:szCs w:val="24"/>
        </w:rPr>
      </w:pPr>
    </w:p>
    <w:p w:rsidR="00AD08A9" w:rsidRPr="00FE7F76" w:rsidRDefault="00AD08A9" w:rsidP="00AD08A9">
      <w:pPr>
        <w:pStyle w:val="Tekstpodstawowy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imes New Roman" w:hAnsi="Times New Roman" w:cs="Times New Roman"/>
          <w:sz w:val="24"/>
          <w:szCs w:val="24"/>
        </w:rPr>
      </w:pPr>
      <w:r w:rsidRPr="00FE7F76">
        <w:rPr>
          <w:rFonts w:ascii="Times New Roman" w:hAnsi="Times New Roman" w:cs="Times New Roman"/>
          <w:sz w:val="24"/>
          <w:szCs w:val="24"/>
        </w:rPr>
        <w:t xml:space="preserve"> Planowane w 2013 roku  spłaty   kredytów i pożyczek  wynoszą 2.201.651,36 zł. Kwota ta została określona w wierszu 7a  Przewidywana jest spłata następujących zobowiązań:</w:t>
      </w:r>
    </w:p>
    <w:p w:rsidR="00AD08A9" w:rsidRPr="00FE7F76" w:rsidRDefault="00AD08A9" w:rsidP="00AD08A9">
      <w:pPr>
        <w:pStyle w:val="Tekstpodstawowy3"/>
        <w:numPr>
          <w:ilvl w:val="0"/>
          <w:numId w:val="19"/>
        </w:numPr>
        <w:tabs>
          <w:tab w:val="left" w:pos="786"/>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ind w:left="851" w:hanging="284"/>
        <w:jc w:val="both"/>
        <w:rPr>
          <w:rFonts w:ascii="Times New Roman" w:hAnsi="Times New Roman" w:cs="Times New Roman"/>
          <w:sz w:val="24"/>
          <w:szCs w:val="24"/>
        </w:rPr>
      </w:pPr>
      <w:r w:rsidRPr="00FE7F76">
        <w:rPr>
          <w:rFonts w:ascii="Times New Roman" w:hAnsi="Times New Roman" w:cs="Times New Roman"/>
          <w:sz w:val="24"/>
          <w:szCs w:val="24"/>
        </w:rPr>
        <w:t>305.800 zł z tytułu   pożyczki  z Wojewódzkiego Funduszu Ochrony Środowiska i Gospodarki Wodnej na remont wraz z rozbudową ujęcia wody w Wojnowie i Osówcu oraz budowa magistrali wodociągowej z Wojnowa do Osówca I etap</w:t>
      </w:r>
    </w:p>
    <w:p w:rsidR="00AD08A9" w:rsidRPr="00FE7F76" w:rsidRDefault="00AD08A9" w:rsidP="00AD08A9">
      <w:pPr>
        <w:pStyle w:val="Tekstpodstawowy3"/>
        <w:numPr>
          <w:ilvl w:val="0"/>
          <w:numId w:val="19"/>
        </w:numPr>
        <w:tabs>
          <w:tab w:val="left" w:pos="786"/>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ind w:left="851" w:hanging="284"/>
        <w:jc w:val="both"/>
        <w:rPr>
          <w:rFonts w:ascii="Times New Roman" w:hAnsi="Times New Roman" w:cs="Times New Roman"/>
          <w:sz w:val="24"/>
          <w:szCs w:val="24"/>
        </w:rPr>
      </w:pPr>
      <w:r w:rsidRPr="00FE7F76">
        <w:rPr>
          <w:rFonts w:ascii="Times New Roman" w:hAnsi="Times New Roman" w:cs="Times New Roman"/>
          <w:sz w:val="24"/>
          <w:szCs w:val="24"/>
        </w:rPr>
        <w:t xml:space="preserve">80.864 zł  z tytułu   pożyczki  z Wojewódzkiego Funduszu Ochrony Środowiska i Gospodarki Wodnej na </w:t>
      </w:r>
      <w:proofErr w:type="spellStart"/>
      <w:r w:rsidRPr="00FE7F76">
        <w:rPr>
          <w:rFonts w:ascii="Times New Roman" w:hAnsi="Times New Roman" w:cs="Times New Roman"/>
          <w:sz w:val="24"/>
          <w:szCs w:val="24"/>
        </w:rPr>
        <w:t>docieplenie</w:t>
      </w:r>
      <w:proofErr w:type="spellEnd"/>
      <w:r w:rsidRPr="00FE7F76">
        <w:rPr>
          <w:rFonts w:ascii="Times New Roman" w:hAnsi="Times New Roman" w:cs="Times New Roman"/>
          <w:sz w:val="24"/>
          <w:szCs w:val="24"/>
        </w:rPr>
        <w:t xml:space="preserve"> budynku wraz z kolorystyką elewacji i wymiana stolarki okiennej i drzwiowej Zespołu Szkół w Sicienku,</w:t>
      </w:r>
    </w:p>
    <w:p w:rsidR="00AD08A9" w:rsidRPr="00FE7F76" w:rsidRDefault="00AD08A9" w:rsidP="00AD08A9">
      <w:pPr>
        <w:pStyle w:val="Tekstpodstawowy3"/>
        <w:numPr>
          <w:ilvl w:val="0"/>
          <w:numId w:val="19"/>
        </w:numPr>
        <w:tabs>
          <w:tab w:val="left" w:pos="786"/>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ind w:left="851" w:hanging="284"/>
        <w:jc w:val="both"/>
        <w:rPr>
          <w:rFonts w:ascii="Times New Roman" w:hAnsi="Times New Roman" w:cs="Times New Roman"/>
          <w:sz w:val="24"/>
          <w:szCs w:val="24"/>
        </w:rPr>
      </w:pPr>
      <w:r w:rsidRPr="00FE7F76">
        <w:rPr>
          <w:rFonts w:ascii="Times New Roman" w:hAnsi="Times New Roman" w:cs="Times New Roman"/>
          <w:sz w:val="24"/>
          <w:szCs w:val="24"/>
        </w:rPr>
        <w:t>16.200 zł z tytułu   pożyczki  z Wojewódzkiego Funduszu Ochrony Środowiska i Gospodarki Wodnej  na budowę magistrali wodociągowej w Osówcu -II etap,</w:t>
      </w:r>
    </w:p>
    <w:p w:rsidR="00AD08A9" w:rsidRPr="00FE7F76" w:rsidRDefault="00AD08A9" w:rsidP="00AD08A9">
      <w:pPr>
        <w:pStyle w:val="Tekstpodstawowy3"/>
        <w:numPr>
          <w:ilvl w:val="0"/>
          <w:numId w:val="19"/>
        </w:numPr>
        <w:tabs>
          <w:tab w:val="left" w:pos="786"/>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ind w:left="851" w:hanging="284"/>
        <w:jc w:val="both"/>
        <w:rPr>
          <w:rFonts w:ascii="Times New Roman" w:hAnsi="Times New Roman" w:cs="Times New Roman"/>
          <w:sz w:val="24"/>
          <w:szCs w:val="24"/>
        </w:rPr>
      </w:pPr>
      <w:r w:rsidRPr="00FE7F76">
        <w:rPr>
          <w:rFonts w:ascii="Times New Roman" w:hAnsi="Times New Roman" w:cs="Times New Roman"/>
          <w:sz w:val="24"/>
          <w:szCs w:val="24"/>
        </w:rPr>
        <w:t>92.500 zł z tytułu   pożyczki  z Wojewódzkiego Funduszu Ochrony Środowiska i Gospodarki Wodnej  na budowę magistrali wodociągowej z Osówca do Wojnowa- III etap,</w:t>
      </w:r>
    </w:p>
    <w:p w:rsidR="00AD08A9" w:rsidRPr="00FE7F76" w:rsidRDefault="00AD08A9" w:rsidP="00AD08A9">
      <w:pPr>
        <w:pStyle w:val="Tekstpodstawowy3"/>
        <w:numPr>
          <w:ilvl w:val="0"/>
          <w:numId w:val="19"/>
        </w:numPr>
        <w:tabs>
          <w:tab w:val="left" w:pos="786"/>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ind w:left="851" w:hanging="284"/>
        <w:jc w:val="both"/>
        <w:rPr>
          <w:rFonts w:ascii="Times New Roman" w:hAnsi="Times New Roman" w:cs="Times New Roman"/>
          <w:sz w:val="24"/>
          <w:szCs w:val="24"/>
        </w:rPr>
      </w:pPr>
      <w:r w:rsidRPr="00FE7F76">
        <w:rPr>
          <w:rFonts w:ascii="Times New Roman" w:hAnsi="Times New Roman" w:cs="Times New Roman"/>
          <w:sz w:val="24"/>
          <w:szCs w:val="24"/>
        </w:rPr>
        <w:t>34.000 zł z tytułu   pożyczki  z Wojewódzkiego Funduszu Ochrony Środowiska i Gospodarki Wodnej  na budowę kanalizacji sanitarnej w miejscowości Pawłówek,</w:t>
      </w:r>
    </w:p>
    <w:p w:rsidR="00AD08A9" w:rsidRPr="00FE7F76" w:rsidRDefault="00AD08A9" w:rsidP="00AD08A9">
      <w:pPr>
        <w:pStyle w:val="Tekstpodstawowy3"/>
        <w:numPr>
          <w:ilvl w:val="0"/>
          <w:numId w:val="19"/>
        </w:numPr>
        <w:tabs>
          <w:tab w:val="left" w:pos="786"/>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ind w:left="851" w:hanging="284"/>
        <w:jc w:val="both"/>
        <w:rPr>
          <w:rFonts w:ascii="Times New Roman" w:hAnsi="Times New Roman" w:cs="Times New Roman"/>
          <w:sz w:val="24"/>
          <w:szCs w:val="24"/>
        </w:rPr>
      </w:pPr>
      <w:r w:rsidRPr="00FE7F76">
        <w:rPr>
          <w:rFonts w:ascii="Times New Roman" w:hAnsi="Times New Roman" w:cs="Times New Roman"/>
          <w:sz w:val="24"/>
          <w:szCs w:val="24"/>
        </w:rPr>
        <w:t>40.000 zł z tytułu   pożyczki  z Wojewódzkiego Funduszu Ochrony Środowiska i Gospodarki Wodnej  na termomodernizację budynków Zespołu Szkół w Wojnowie,</w:t>
      </w:r>
    </w:p>
    <w:p w:rsidR="00AD08A9" w:rsidRPr="00FE7F76" w:rsidRDefault="00AD08A9" w:rsidP="00AD08A9">
      <w:pPr>
        <w:pStyle w:val="Tekstpodstawowy3"/>
        <w:numPr>
          <w:ilvl w:val="0"/>
          <w:numId w:val="19"/>
        </w:numPr>
        <w:tabs>
          <w:tab w:val="left" w:pos="786"/>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ind w:left="851" w:hanging="284"/>
        <w:jc w:val="both"/>
        <w:rPr>
          <w:rFonts w:ascii="Times New Roman" w:hAnsi="Times New Roman" w:cs="Times New Roman"/>
          <w:sz w:val="24"/>
          <w:szCs w:val="24"/>
        </w:rPr>
      </w:pPr>
      <w:r w:rsidRPr="00FE7F76">
        <w:rPr>
          <w:rFonts w:ascii="Times New Roman" w:hAnsi="Times New Roman" w:cs="Times New Roman"/>
          <w:sz w:val="24"/>
          <w:szCs w:val="24"/>
        </w:rPr>
        <w:t xml:space="preserve">497.703,48 zł z tytułu kredytu długoterminowego na sfinansowanie deficytu roku 2009 i 2010  </w:t>
      </w:r>
    </w:p>
    <w:p w:rsidR="00AD08A9" w:rsidRPr="00FE7F76" w:rsidRDefault="00AD08A9" w:rsidP="00AD08A9">
      <w:pPr>
        <w:pStyle w:val="Tekstpodstawowy3"/>
        <w:numPr>
          <w:ilvl w:val="0"/>
          <w:numId w:val="19"/>
        </w:numPr>
        <w:tabs>
          <w:tab w:val="left" w:pos="786"/>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ind w:left="851" w:hanging="284"/>
        <w:jc w:val="both"/>
        <w:rPr>
          <w:rFonts w:ascii="Times New Roman" w:hAnsi="Times New Roman" w:cs="Times New Roman"/>
          <w:sz w:val="24"/>
          <w:szCs w:val="24"/>
        </w:rPr>
      </w:pPr>
      <w:r w:rsidRPr="00FE7F76">
        <w:rPr>
          <w:rFonts w:ascii="Times New Roman" w:hAnsi="Times New Roman" w:cs="Times New Roman"/>
          <w:sz w:val="24"/>
          <w:szCs w:val="24"/>
        </w:rPr>
        <w:t>375.864,88 zł z tytułu kredytu długoterminowego na spłatę wcześniej zaciągniętych zobowiązań z tytułu kredytów i pożyczek.</w:t>
      </w:r>
    </w:p>
    <w:p w:rsidR="00AD08A9" w:rsidRPr="00FE7F76" w:rsidRDefault="00AD08A9" w:rsidP="00AD08A9">
      <w:pPr>
        <w:tabs>
          <w:tab w:val="left" w:pos="28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Times New Roman" w:hAnsi="Times New Roman" w:cs="Times New Roman"/>
          <w:sz w:val="24"/>
          <w:szCs w:val="24"/>
        </w:rPr>
      </w:pPr>
      <w:r w:rsidRPr="00FE7F76">
        <w:rPr>
          <w:rFonts w:ascii="Times New Roman" w:hAnsi="Times New Roman" w:cs="Times New Roman"/>
          <w:sz w:val="24"/>
          <w:szCs w:val="24"/>
        </w:rPr>
        <w:t>Wysokość wolnych środków,   jako</w:t>
      </w:r>
      <w:r w:rsidRPr="00FE7F76">
        <w:rPr>
          <w:rFonts w:ascii="Times New Roman" w:hAnsi="Times New Roman" w:cs="Times New Roman"/>
          <w:sz w:val="24"/>
          <w:szCs w:val="24"/>
        </w:rPr>
        <w:tab/>
        <w:t xml:space="preserve">nadwyżki środków pieniężnych na rachunku bieżącym budżetu jednostki samorządu terytorialnego, wynikających z rozliczeń wyemitowanych papierów wartościowych, kredytów i pożyczek z lat ubiegłych, wypracowana na koniec 2012 roku wynosi 630.687,83 zł. Kwota ta przeznaczona jest na spłatę powyższych kredytów i pożyczek. Ze względu na fakt, iż nie pokryje ona w całości planowanych do spłat rat przewidywane jest również zaciągnięcie na ten cel kredytu długoterminowego w wysokości 812.244,53 zł. </w:t>
      </w:r>
    </w:p>
    <w:p w:rsidR="00AD08A9" w:rsidRPr="00FE7F76" w:rsidRDefault="00AD08A9" w:rsidP="00AD08A9">
      <w:pPr>
        <w:pStyle w:val="Tekstpodstawowy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jc w:val="both"/>
        <w:rPr>
          <w:rFonts w:ascii="Times New Roman" w:hAnsi="Times New Roman" w:cs="Times New Roman"/>
          <w:sz w:val="24"/>
          <w:szCs w:val="24"/>
        </w:rPr>
      </w:pPr>
      <w:r w:rsidRPr="00FE7F76">
        <w:rPr>
          <w:rFonts w:ascii="Times New Roman" w:hAnsi="Times New Roman" w:cs="Times New Roman"/>
          <w:sz w:val="24"/>
          <w:szCs w:val="24"/>
        </w:rPr>
        <w:t xml:space="preserve"> W 2013 roku z uzyskanych płatności ze środków unijnych przewiduje się spłatę zaciągniętych pożyczek na wyprzedzające finansowanie zadań z udziałem środków pochodzących z budżetu UE na sfinansowanie inwestycji zrealizowanych w 2012 roku, w tym: </w:t>
      </w:r>
    </w:p>
    <w:p w:rsidR="00AD08A9" w:rsidRPr="00FE7F76" w:rsidRDefault="00AD08A9" w:rsidP="00AD08A9">
      <w:pPr>
        <w:pStyle w:val="Tekstpodstawowy3"/>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ind w:left="567"/>
        <w:jc w:val="both"/>
        <w:rPr>
          <w:rFonts w:ascii="Times New Roman" w:hAnsi="Times New Roman" w:cs="Times New Roman"/>
          <w:sz w:val="24"/>
          <w:szCs w:val="24"/>
        </w:rPr>
      </w:pPr>
      <w:r w:rsidRPr="00FE7F76">
        <w:rPr>
          <w:rFonts w:ascii="Times New Roman" w:hAnsi="Times New Roman" w:cs="Times New Roman"/>
          <w:sz w:val="24"/>
          <w:szCs w:val="24"/>
        </w:rPr>
        <w:t>- Budowa kanalizacji sanitarnej  wraz z przepompownią i tłoczniami ścieków z Osówca do granic miasta Bydgoszcz w wysokości 500.000 zł,</w:t>
      </w:r>
    </w:p>
    <w:p w:rsidR="00AD08A9" w:rsidRPr="00FE7F76" w:rsidRDefault="00AD08A9" w:rsidP="00AD08A9">
      <w:pPr>
        <w:pStyle w:val="Tekstpodstawowy3"/>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ind w:left="567"/>
        <w:jc w:val="both"/>
        <w:rPr>
          <w:rFonts w:ascii="Times New Roman" w:hAnsi="Times New Roman" w:cs="Times New Roman"/>
          <w:sz w:val="24"/>
          <w:szCs w:val="24"/>
        </w:rPr>
      </w:pPr>
      <w:r w:rsidRPr="00FE7F76">
        <w:rPr>
          <w:rFonts w:ascii="Times New Roman" w:hAnsi="Times New Roman" w:cs="Times New Roman"/>
          <w:sz w:val="24"/>
          <w:szCs w:val="24"/>
        </w:rPr>
        <w:lastRenderedPageBreak/>
        <w:t xml:space="preserve">- Przebudowa i rozbudowa wraz z </w:t>
      </w:r>
      <w:proofErr w:type="spellStart"/>
      <w:r w:rsidRPr="00FE7F76">
        <w:rPr>
          <w:rFonts w:ascii="Times New Roman" w:hAnsi="Times New Roman" w:cs="Times New Roman"/>
          <w:sz w:val="24"/>
          <w:szCs w:val="24"/>
        </w:rPr>
        <w:t>dociepleniem</w:t>
      </w:r>
      <w:proofErr w:type="spellEnd"/>
      <w:r w:rsidRPr="00FE7F76">
        <w:rPr>
          <w:rFonts w:ascii="Times New Roman" w:hAnsi="Times New Roman" w:cs="Times New Roman"/>
          <w:sz w:val="24"/>
          <w:szCs w:val="24"/>
        </w:rPr>
        <w:t xml:space="preserve">   dachu i ścian istniejącego budynku Wiejskiego Domu Kultury w Kruszynie w kwocie 258.719 zł.</w:t>
      </w:r>
    </w:p>
    <w:p w:rsidR="00AD08A9" w:rsidRPr="00FE7F76" w:rsidRDefault="00AD08A9" w:rsidP="00AD08A9">
      <w:pPr>
        <w:pStyle w:val="Tekstpodstawowy3"/>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ind w:left="567"/>
        <w:jc w:val="both"/>
        <w:rPr>
          <w:rFonts w:ascii="Times New Roman" w:hAnsi="Times New Roman" w:cs="Times New Roman"/>
          <w:sz w:val="24"/>
          <w:szCs w:val="24"/>
        </w:rPr>
      </w:pPr>
    </w:p>
    <w:p w:rsidR="00AD08A9" w:rsidRPr="00FE7F76" w:rsidRDefault="00AD08A9" w:rsidP="00AD08A9">
      <w:pPr>
        <w:pStyle w:val="Tekstpodstawowy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Times New Roman" w:hAnsi="Times New Roman" w:cs="Times New Roman"/>
          <w:sz w:val="24"/>
          <w:szCs w:val="24"/>
        </w:rPr>
      </w:pPr>
      <w:r w:rsidRPr="00FE7F76">
        <w:rPr>
          <w:rFonts w:ascii="Times New Roman" w:hAnsi="Times New Roman" w:cs="Times New Roman"/>
          <w:sz w:val="24"/>
          <w:szCs w:val="24"/>
        </w:rPr>
        <w:t>Budżet roku 2013 jest zrównoważony i nie przewiduje nadwyżki budżetowej, która w 2014 roku mogłaby zostać przeznaczona na spłatę kredytów i pożyczek. W związku z tym na spłatę zaciągniętych zobowiązań z lat ubiegłych w 2014 roku planowane jest zaciągnięcie kredytu długoterminowego.</w:t>
      </w:r>
    </w:p>
    <w:p w:rsidR="00AD08A9" w:rsidRPr="00FE7F76" w:rsidRDefault="00AD08A9" w:rsidP="00AD08A9">
      <w:pPr>
        <w:pStyle w:val="Tekstpodstawowywcity"/>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jc w:val="both"/>
        <w:rPr>
          <w:rFonts w:ascii="Times New Roman" w:hAnsi="Times New Roman" w:cs="Times New Roman"/>
          <w:sz w:val="24"/>
          <w:szCs w:val="24"/>
        </w:rPr>
      </w:pPr>
      <w:r w:rsidRPr="00FE7F76">
        <w:rPr>
          <w:rFonts w:ascii="Times New Roman" w:hAnsi="Times New Roman" w:cs="Times New Roman"/>
          <w:sz w:val="24"/>
          <w:szCs w:val="24"/>
        </w:rPr>
        <w:t xml:space="preserve">Budżet gminy planowany na 2014 rok i lata następne  zakłada wypracowanie nadwyżek  przeznaczonych na spłatę zadłużenia od 2015 roku. Wysokość wypracowanych nadwyżek budżetowych  w latach 2014-2016 nie pokryje w pełni przypadających do spłaty rat kredytów i pożyczek w okresie 2015- 2017. W związku z tym, w latach tych planowane jest zaciągnięcie   kredytów  na  powyższy  cel  w wysokości,  określonej w wierszu 11 załącznika nr 1.  Począwszy od 2018 roku spłata długu planowana jest z nadwyżki budżetowej roku poprzedniego. Wysokość nadwyżki budżetowej przeznaczonej na sfinansowania spłaty długu   przedstawiony została  w wierszu 4.1 załącznika nr 1 do uchwały. </w:t>
      </w:r>
    </w:p>
    <w:p w:rsidR="00AD08A9" w:rsidRPr="00FE7F76" w:rsidRDefault="00AD08A9" w:rsidP="00AD08A9">
      <w:pPr>
        <w:pStyle w:val="Tekstpodstawowywcity"/>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jc w:val="both"/>
        <w:rPr>
          <w:rFonts w:ascii="Times New Roman" w:hAnsi="Times New Roman" w:cs="Times New Roman"/>
          <w:sz w:val="24"/>
          <w:szCs w:val="24"/>
        </w:rPr>
      </w:pPr>
      <w:r w:rsidRPr="00FE7F76">
        <w:rPr>
          <w:rFonts w:ascii="Times New Roman" w:hAnsi="Times New Roman" w:cs="Times New Roman"/>
          <w:sz w:val="24"/>
          <w:szCs w:val="24"/>
        </w:rPr>
        <w:t xml:space="preserve">Biorąc powyższe pod uwagę całkowita spłata zaciągniętych oraz planowanych do zaciągnięcia pożyczek  i kredytów winna nastąpić w 2019 roku.  Należy jednak zaznaczyć, że kwota spłaty długu nie uwzględnia możliwego do uzyskania częściowego umorzenia zaciągniętych pożyczek w Wojewódzkim Funduszu Ochrony Środowiska. W latach 2013-2015 Gmina może ubiegać się o umorzenie czterech pożyczek zaciągniętych w </w:t>
      </w:r>
      <w:proofErr w:type="spellStart"/>
      <w:r w:rsidRPr="00FE7F76">
        <w:rPr>
          <w:rFonts w:ascii="Times New Roman" w:hAnsi="Times New Roman" w:cs="Times New Roman"/>
          <w:sz w:val="24"/>
          <w:szCs w:val="24"/>
        </w:rPr>
        <w:t>WFOŚiGW</w:t>
      </w:r>
      <w:proofErr w:type="spellEnd"/>
      <w:r w:rsidRPr="00FE7F76">
        <w:rPr>
          <w:rFonts w:ascii="Times New Roman" w:hAnsi="Times New Roman" w:cs="Times New Roman"/>
          <w:sz w:val="24"/>
          <w:szCs w:val="24"/>
        </w:rPr>
        <w:t>. Łączna wysokość możliwych umorzeń wynosi około 870.000 zł.  Uzyskanie powyższych umorzeń pozwoli na przeznaczenie wyższych środków na niezbędne inwestycje i remonty.</w:t>
      </w:r>
    </w:p>
    <w:p w:rsidR="00AD08A9" w:rsidRPr="00FE7F76" w:rsidRDefault="00AD08A9" w:rsidP="00AD08A9">
      <w:pPr>
        <w:pStyle w:val="Tekstpodstawowywcity"/>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jc w:val="both"/>
        <w:rPr>
          <w:rFonts w:ascii="Times New Roman" w:hAnsi="Times New Roman" w:cs="Times New Roman"/>
          <w:sz w:val="24"/>
          <w:szCs w:val="24"/>
        </w:rPr>
      </w:pPr>
      <w:r w:rsidRPr="00FE7F76">
        <w:rPr>
          <w:rFonts w:ascii="Times New Roman" w:hAnsi="Times New Roman" w:cs="Times New Roman"/>
          <w:sz w:val="24"/>
          <w:szCs w:val="24"/>
        </w:rPr>
        <w:t xml:space="preserve">Przewidywane wydatki związane z obsługą powyższego długu, stanowiące odsetki i prowizje, zostały wykazane w wierszu 2.1.3 załącznika nr 1 do uchwały. Kwoty te  zostały określone na podstawie wysokości oprocentowania zaciągniętych pożyczek i kredytów oraz średniej wysokości oprocentowania w stosunku do planowanych do zaciągnięcia kredytów.    </w:t>
      </w:r>
    </w:p>
    <w:p w:rsidR="00AD08A9" w:rsidRDefault="00AD08A9" w:rsidP="00AD08A9">
      <w:pPr>
        <w:pStyle w:val="Tekstpodstawowywcity"/>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jc w:val="both"/>
        <w:rPr>
          <w:rFonts w:ascii="Times New Roman" w:hAnsi="Times New Roman" w:cs="Times New Roman"/>
          <w:sz w:val="24"/>
          <w:szCs w:val="24"/>
        </w:rPr>
      </w:pPr>
      <w:r w:rsidRPr="00FE7F76">
        <w:rPr>
          <w:rFonts w:ascii="Times New Roman" w:hAnsi="Times New Roman" w:cs="Times New Roman"/>
          <w:sz w:val="24"/>
          <w:szCs w:val="24"/>
        </w:rPr>
        <w:t xml:space="preserve">Do roku 2014, zgodnie z  art.121 ustawy z dnia 27 sierpnia 2009 </w:t>
      </w:r>
      <w:proofErr w:type="spellStart"/>
      <w:r w:rsidRPr="00FE7F76">
        <w:rPr>
          <w:rFonts w:ascii="Times New Roman" w:hAnsi="Times New Roman" w:cs="Times New Roman"/>
          <w:sz w:val="24"/>
          <w:szCs w:val="24"/>
        </w:rPr>
        <w:t>r</w:t>
      </w:r>
      <w:proofErr w:type="spellEnd"/>
      <w:r w:rsidRPr="00FE7F76">
        <w:rPr>
          <w:rFonts w:ascii="Times New Roman" w:hAnsi="Times New Roman" w:cs="Times New Roman"/>
          <w:sz w:val="24"/>
          <w:szCs w:val="24"/>
        </w:rPr>
        <w:t xml:space="preserve"> – Przepisy wprowadzające ustawę o finansach publicznych, możliwości zaciągania i spłaty zadłużenia jednostek samorządu terytorialnego określone są poprzez relacje zawarte w art. 169 i 170 ustawy z dnia 30 czerwca 2005 roku o finansach publicznych. Zgodnie z powyższymi przepisami wysokość maksymalnego zadłużenia gminy nie może przekroczyć 60 %, a kwota przypadających do spłaty rat kredytów i pożyczek wraz z odsetkami 15 % planowanych na dany rok dochodów. Powyższe wskaźniki zostały przedstawione w wierszu 6.2 i 6.3 załącznika nr 1 do uchwały.  Począwszy od 2014 roku będą miały zastosowanie przepisy art. 243 ustawy z dnia 27 sierpnia 2009 roku o finansach publicznych, zgodnie z którym każda jednostka samorządu terytorialnego posiadała będzie indywidualny wskaźnik zadłużenia.  Ustalony w oparciu o powyższe przepisy indywidualny limit zadłużenia, przedstawiony został w wierszu 9.7 załącznika nr 1, w latach 2014 -2019 nie zostanie przekroczony. W związku z powyższym w </w:t>
      </w:r>
      <w:r w:rsidRPr="00FE7F76">
        <w:rPr>
          <w:rFonts w:ascii="Times New Roman" w:hAnsi="Times New Roman" w:cs="Times New Roman"/>
          <w:sz w:val="24"/>
          <w:szCs w:val="24"/>
        </w:rPr>
        <w:lastRenderedPageBreak/>
        <w:t>latach objętych wieloletnią prognozą finansową spełnione są warunki określone w art. 243 ustawy o finansach publicznych z 29 sierpnia 2009 roku.</w:t>
      </w:r>
    </w:p>
    <w:p w:rsidR="00AD08A9" w:rsidRPr="001E69B3" w:rsidRDefault="00AD08A9" w:rsidP="00AD08A9">
      <w:pPr>
        <w:pStyle w:val="Tekstpodstawowywcity"/>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jc w:val="both"/>
        <w:rPr>
          <w:rFonts w:ascii="Times New Roman" w:hAnsi="Times New Roman" w:cs="Times New Roman"/>
          <w:sz w:val="8"/>
          <w:szCs w:val="24"/>
        </w:rPr>
      </w:pPr>
    </w:p>
    <w:p w:rsidR="00AD08A9" w:rsidRPr="001E69B3" w:rsidRDefault="00AD08A9" w:rsidP="00AD08A9">
      <w:pPr>
        <w:pStyle w:val="Tekstpodstawowywcity"/>
        <w:numPr>
          <w:ilvl w:val="0"/>
          <w:numId w:val="1"/>
        </w:numP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jc w:val="both"/>
        <w:rPr>
          <w:rFonts w:ascii="Times New Roman" w:hAnsi="Times New Roman" w:cs="Times New Roman"/>
          <w:b/>
          <w:bCs/>
          <w:sz w:val="28"/>
          <w:szCs w:val="24"/>
        </w:rPr>
      </w:pPr>
      <w:r w:rsidRPr="001E69B3">
        <w:rPr>
          <w:rFonts w:ascii="Times New Roman" w:hAnsi="Times New Roman" w:cs="Times New Roman"/>
          <w:b/>
          <w:bCs/>
          <w:sz w:val="28"/>
          <w:szCs w:val="24"/>
        </w:rPr>
        <w:t>Podsumowanie</w:t>
      </w:r>
    </w:p>
    <w:p w:rsidR="00AD08A9" w:rsidRPr="001E69B3" w:rsidRDefault="00AD08A9" w:rsidP="00AD08A9">
      <w:pPr>
        <w:pStyle w:val="Tekstpodstawowywcity"/>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720"/>
        <w:jc w:val="both"/>
        <w:rPr>
          <w:rFonts w:ascii="Times New Roman" w:hAnsi="Times New Roman" w:cs="Times New Roman"/>
          <w:sz w:val="4"/>
          <w:szCs w:val="24"/>
        </w:rPr>
      </w:pPr>
    </w:p>
    <w:p w:rsidR="00AD08A9" w:rsidRPr="00FE7F76" w:rsidRDefault="00AD08A9" w:rsidP="00AD08A9">
      <w:pPr>
        <w:pStyle w:val="Tekstpodstawowywcity"/>
        <w:tabs>
          <w:tab w:val="left" w:pos="11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113" w:firstLine="709"/>
        <w:jc w:val="both"/>
        <w:rPr>
          <w:rFonts w:ascii="Times New Roman" w:hAnsi="Times New Roman" w:cs="Times New Roman"/>
          <w:sz w:val="24"/>
          <w:szCs w:val="24"/>
        </w:rPr>
      </w:pPr>
      <w:r w:rsidRPr="00FE7F76">
        <w:rPr>
          <w:rFonts w:ascii="Times New Roman" w:hAnsi="Times New Roman" w:cs="Times New Roman"/>
          <w:sz w:val="24"/>
          <w:szCs w:val="24"/>
        </w:rPr>
        <w:t xml:space="preserve">Wieloletnia prognoza finansowa w oparciu o syntetyczną prognozę głównych  parametrów budżetowych, zapewniając zgodność danych z ustawą z dnia 27 sierpnia 2009 roku o finansach publicznych,  pozwala na  analizę realnych możliwości finansowych oraz ocenę rzeczywistych możliwości zaciągania i spłaty zadłużenia Gminy Sicienko. </w:t>
      </w:r>
    </w:p>
    <w:p w:rsidR="00140B94" w:rsidRPr="00AD08A9" w:rsidRDefault="00AD08A9" w:rsidP="00AD08A9"/>
    <w:sectPr w:rsidR="00140B94" w:rsidRPr="00AD08A9" w:rsidSect="00AB4C34">
      <w:pgSz w:w="11894" w:h="15840"/>
      <w:pgMar w:top="1440" w:right="1440" w:bottom="1417" w:left="1440" w:header="708" w:footer="708" w:gutter="0"/>
      <w:cols w:space="708"/>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lvl w:ilvl="0">
      <w:start w:val="1"/>
      <w:numFmt w:val="decimal"/>
      <w:lvlText w:val="%1."/>
      <w:lvlJc w:val="left"/>
      <w:pPr>
        <w:ind w:left="720" w:hanging="360"/>
      </w:pPr>
      <w:rPr>
        <w:rFonts w:ascii="Times New Roman" w:hAnsi="Times New Roman" w:cs="Times New Roman"/>
        <w:b/>
        <w:bCs/>
        <w:i w:val="0"/>
        <w:iCs w:val="0"/>
        <w:strike w:val="0"/>
        <w:color w:val="auto"/>
        <w:sz w:val="24"/>
        <w:szCs w:val="24"/>
        <w:u w:val="none"/>
      </w:rPr>
    </w:lvl>
  </w:abstractNum>
  <w:abstractNum w:abstractNumId="1">
    <w:nsid w:val="00000002"/>
    <w:multiLevelType w:val="singleLevel"/>
    <w:tmpl w:val="00000002"/>
    <w:lvl w:ilvl="0">
      <w:start w:val="1"/>
      <w:numFmt w:val="decimal"/>
      <w:lvlText w:val="%1)"/>
      <w:lvlJc w:val="left"/>
      <w:pPr>
        <w:ind w:left="1069" w:hanging="360"/>
      </w:pPr>
      <w:rPr>
        <w:rFonts w:ascii="Times New Roman" w:hAnsi="Times New Roman" w:cs="Times New Roman"/>
        <w:b w:val="0"/>
        <w:bCs w:val="0"/>
        <w:i w:val="0"/>
        <w:iCs w:val="0"/>
        <w:strike w:val="0"/>
        <w:color w:val="auto"/>
        <w:sz w:val="24"/>
        <w:szCs w:val="24"/>
        <w:u w:val="none"/>
      </w:rPr>
    </w:lvl>
  </w:abstractNum>
  <w:abstractNum w:abstractNumId="2">
    <w:nsid w:val="00000003"/>
    <w:multiLevelType w:val="singleLevel"/>
    <w:tmpl w:val="00000003"/>
    <w:lvl w:ilvl="0">
      <w:start w:val="1"/>
      <w:numFmt w:val="lowerLetter"/>
      <w:lvlText w:val="%1)"/>
      <w:lvlJc w:val="left"/>
      <w:pPr>
        <w:ind w:left="1789" w:hanging="360"/>
      </w:pPr>
      <w:rPr>
        <w:rFonts w:ascii="Times New Roman" w:hAnsi="Times New Roman" w:cs="Times New Roman"/>
        <w:b w:val="0"/>
        <w:bCs w:val="0"/>
        <w:i w:val="0"/>
        <w:iCs w:val="0"/>
        <w:strike w:val="0"/>
        <w:color w:val="auto"/>
        <w:sz w:val="24"/>
        <w:szCs w:val="24"/>
        <w:u w:val="none"/>
      </w:rPr>
    </w:lvl>
  </w:abstractNum>
  <w:abstractNum w:abstractNumId="3">
    <w:nsid w:val="00000004"/>
    <w:multiLevelType w:val="singleLevel"/>
    <w:tmpl w:val="00000004"/>
    <w:lvl w:ilvl="0">
      <w:start w:val="1"/>
      <w:numFmt w:val="lowerLetter"/>
      <w:lvlText w:val="%1)"/>
      <w:lvlJc w:val="left"/>
      <w:pPr>
        <w:ind w:left="1789" w:hanging="360"/>
      </w:pPr>
      <w:rPr>
        <w:rFonts w:ascii="Times New Roman" w:hAnsi="Times New Roman" w:cs="Times New Roman"/>
        <w:b w:val="0"/>
        <w:bCs w:val="0"/>
        <w:i w:val="0"/>
        <w:iCs w:val="0"/>
        <w:strike w:val="0"/>
        <w:color w:val="auto"/>
        <w:sz w:val="24"/>
        <w:szCs w:val="24"/>
        <w:u w:val="none"/>
      </w:rPr>
    </w:lvl>
  </w:abstractNum>
  <w:abstractNum w:abstractNumId="4">
    <w:nsid w:val="00000005"/>
    <w:multiLevelType w:val="singleLevel"/>
    <w:tmpl w:val="00000005"/>
    <w:lvl w:ilvl="0">
      <w:start w:val="1"/>
      <w:numFmt w:val="lowerLetter"/>
      <w:lvlText w:val="%1)"/>
      <w:lvlJc w:val="left"/>
      <w:pPr>
        <w:ind w:left="1429" w:hanging="360"/>
      </w:pPr>
      <w:rPr>
        <w:rFonts w:ascii="Times New Roman" w:hAnsi="Times New Roman" w:cs="Times New Roman"/>
        <w:b w:val="0"/>
        <w:bCs w:val="0"/>
        <w:i w:val="0"/>
        <w:iCs w:val="0"/>
        <w:strike w:val="0"/>
        <w:color w:val="auto"/>
        <w:sz w:val="24"/>
        <w:szCs w:val="24"/>
        <w:u w:val="none"/>
      </w:rPr>
    </w:lvl>
  </w:abstractNum>
  <w:abstractNum w:abstractNumId="5">
    <w:nsid w:val="00000006"/>
    <w:multiLevelType w:val="singleLevel"/>
    <w:tmpl w:val="00000006"/>
    <w:lvl w:ilvl="0">
      <w:start w:val="1"/>
      <w:numFmt w:val="lowerLetter"/>
      <w:lvlText w:val="%1)"/>
      <w:lvlJc w:val="left"/>
      <w:pPr>
        <w:ind w:left="1429" w:hanging="360"/>
      </w:pPr>
      <w:rPr>
        <w:rFonts w:ascii="Times New Roman" w:hAnsi="Times New Roman" w:cs="Times New Roman"/>
        <w:b w:val="0"/>
        <w:bCs w:val="0"/>
        <w:i w:val="0"/>
        <w:iCs w:val="0"/>
        <w:strike w:val="0"/>
        <w:color w:val="auto"/>
        <w:sz w:val="24"/>
        <w:szCs w:val="24"/>
        <w:u w:val="none"/>
      </w:rPr>
    </w:lvl>
  </w:abstractNum>
  <w:abstractNum w:abstractNumId="6">
    <w:nsid w:val="00000007"/>
    <w:multiLevelType w:val="singleLevel"/>
    <w:tmpl w:val="00000007"/>
    <w:lvl w:ilvl="0">
      <w:start w:val="1"/>
      <w:numFmt w:val="lowerLetter"/>
      <w:lvlText w:val="%1)"/>
      <w:lvlJc w:val="left"/>
      <w:pPr>
        <w:ind w:left="1429" w:hanging="360"/>
      </w:pPr>
      <w:rPr>
        <w:rFonts w:ascii="Times New Roman" w:hAnsi="Times New Roman" w:cs="Times New Roman"/>
        <w:b w:val="0"/>
        <w:bCs w:val="0"/>
        <w:i w:val="0"/>
        <w:iCs w:val="0"/>
        <w:strike w:val="0"/>
        <w:color w:val="auto"/>
        <w:sz w:val="24"/>
        <w:szCs w:val="24"/>
        <w:u w:val="none"/>
      </w:rPr>
    </w:lvl>
  </w:abstractNum>
  <w:abstractNum w:abstractNumId="7">
    <w:nsid w:val="00000008"/>
    <w:multiLevelType w:val="singleLevel"/>
    <w:tmpl w:val="00000008"/>
    <w:lvl w:ilvl="0">
      <w:start w:val="1"/>
      <w:numFmt w:val="lowerLetter"/>
      <w:lvlText w:val="%1)"/>
      <w:lvlJc w:val="left"/>
      <w:pPr>
        <w:ind w:left="1429" w:hanging="360"/>
      </w:pPr>
      <w:rPr>
        <w:rFonts w:ascii="Times New Roman" w:hAnsi="Times New Roman" w:cs="Times New Roman"/>
        <w:b w:val="0"/>
        <w:bCs w:val="0"/>
        <w:i w:val="0"/>
        <w:iCs w:val="0"/>
        <w:strike w:val="0"/>
        <w:color w:val="auto"/>
        <w:sz w:val="24"/>
        <w:szCs w:val="24"/>
        <w:u w:val="none"/>
      </w:rPr>
    </w:lvl>
  </w:abstractNum>
  <w:abstractNum w:abstractNumId="8">
    <w:nsid w:val="00000009"/>
    <w:multiLevelType w:val="singleLevel"/>
    <w:tmpl w:val="00000009"/>
    <w:lvl w:ilvl="0">
      <w:start w:val="1"/>
      <w:numFmt w:val="lowerLetter"/>
      <w:lvlText w:val="%1)"/>
      <w:lvlJc w:val="left"/>
      <w:pPr>
        <w:ind w:left="1429" w:hanging="360"/>
      </w:pPr>
      <w:rPr>
        <w:rFonts w:ascii="Times New Roman" w:hAnsi="Times New Roman" w:cs="Times New Roman"/>
        <w:b w:val="0"/>
        <w:bCs w:val="0"/>
        <w:i w:val="0"/>
        <w:iCs w:val="0"/>
        <w:strike w:val="0"/>
        <w:color w:val="auto"/>
        <w:sz w:val="24"/>
        <w:szCs w:val="24"/>
        <w:u w:val="none"/>
      </w:rPr>
    </w:lvl>
  </w:abstractNum>
  <w:abstractNum w:abstractNumId="9">
    <w:nsid w:val="0000000A"/>
    <w:multiLevelType w:val="singleLevel"/>
    <w:tmpl w:val="0000000A"/>
    <w:lvl w:ilvl="0">
      <w:start w:val="1"/>
      <w:numFmt w:val="decimal"/>
      <w:lvlText w:val="%1)"/>
      <w:lvlJc w:val="left"/>
      <w:pPr>
        <w:ind w:left="720" w:hanging="360"/>
      </w:pPr>
      <w:rPr>
        <w:rFonts w:ascii="Times New Roman" w:hAnsi="Times New Roman" w:cs="Times New Roman"/>
        <w:b w:val="0"/>
        <w:bCs w:val="0"/>
        <w:i w:val="0"/>
        <w:iCs w:val="0"/>
        <w:strike w:val="0"/>
        <w:color w:val="auto"/>
        <w:sz w:val="24"/>
        <w:szCs w:val="24"/>
        <w:u w:val="none"/>
      </w:rPr>
    </w:lvl>
  </w:abstractNum>
  <w:abstractNum w:abstractNumId="10">
    <w:nsid w:val="0000000B"/>
    <w:multiLevelType w:val="singleLevel"/>
    <w:tmpl w:val="0000000B"/>
    <w:lvl w:ilvl="0">
      <w:start w:val="1"/>
      <w:numFmt w:val="lowerLetter"/>
      <w:lvlText w:val="%1)"/>
      <w:lvlJc w:val="left"/>
      <w:pPr>
        <w:ind w:left="1633" w:hanging="357"/>
      </w:pPr>
      <w:rPr>
        <w:rFonts w:ascii="Times New Roman" w:hAnsi="Times New Roman" w:cs="Times New Roman"/>
        <w:b w:val="0"/>
        <w:bCs w:val="0"/>
        <w:i w:val="0"/>
        <w:iCs w:val="0"/>
        <w:strike w:val="0"/>
        <w:color w:val="auto"/>
        <w:sz w:val="24"/>
        <w:szCs w:val="24"/>
        <w:u w:val="none"/>
      </w:rPr>
    </w:lvl>
  </w:abstractNum>
  <w:abstractNum w:abstractNumId="11">
    <w:nsid w:val="0000000C"/>
    <w:multiLevelType w:val="singleLevel"/>
    <w:tmpl w:val="0000000C"/>
    <w:lvl w:ilvl="0">
      <w:start w:val="1"/>
      <w:numFmt w:val="lowerLetter"/>
      <w:lvlText w:val="%1)"/>
      <w:lvlJc w:val="left"/>
      <w:pPr>
        <w:ind w:left="1560" w:hanging="284"/>
      </w:pPr>
      <w:rPr>
        <w:rFonts w:ascii="Times New Roman" w:hAnsi="Times New Roman" w:cs="Times New Roman"/>
        <w:b w:val="0"/>
        <w:bCs w:val="0"/>
        <w:i w:val="0"/>
        <w:iCs w:val="0"/>
        <w:strike w:val="0"/>
        <w:color w:val="auto"/>
        <w:sz w:val="24"/>
        <w:szCs w:val="24"/>
        <w:u w:val="none"/>
      </w:rPr>
    </w:lvl>
  </w:abstractNum>
  <w:abstractNum w:abstractNumId="12">
    <w:nsid w:val="0000000D"/>
    <w:multiLevelType w:val="singleLevel"/>
    <w:tmpl w:val="0000000D"/>
    <w:lvl w:ilvl="0">
      <w:start w:val="1"/>
      <w:numFmt w:val="decimal"/>
      <w:lvlText w:val="%1."/>
      <w:lvlJc w:val="left"/>
      <w:pPr>
        <w:ind w:left="720" w:hanging="360"/>
      </w:pPr>
      <w:rPr>
        <w:rFonts w:ascii="Times New Roman" w:hAnsi="Times New Roman" w:cs="Times New Roman"/>
        <w:b/>
        <w:bCs/>
        <w:i w:val="0"/>
        <w:iCs w:val="0"/>
        <w:strike w:val="0"/>
        <w:color w:val="auto"/>
        <w:sz w:val="24"/>
        <w:szCs w:val="24"/>
        <w:u w:val="none"/>
      </w:rPr>
    </w:lvl>
  </w:abstractNum>
  <w:abstractNum w:abstractNumId="13">
    <w:nsid w:val="0000000E"/>
    <w:multiLevelType w:val="singleLevel"/>
    <w:tmpl w:val="0000000E"/>
    <w:lvl w:ilvl="0">
      <w:start w:val="1"/>
      <w:numFmt w:val="decimal"/>
      <w:lvlText w:val="%1)"/>
      <w:lvlJc w:val="left"/>
      <w:pPr>
        <w:ind w:left="644" w:hanging="360"/>
      </w:pPr>
      <w:rPr>
        <w:rFonts w:ascii="Times New Roman" w:hAnsi="Times New Roman" w:cs="Times New Roman"/>
        <w:b w:val="0"/>
        <w:bCs w:val="0"/>
        <w:i w:val="0"/>
        <w:iCs w:val="0"/>
        <w:strike w:val="0"/>
        <w:color w:val="auto"/>
        <w:sz w:val="24"/>
        <w:szCs w:val="24"/>
        <w:u w:val="none"/>
      </w:rPr>
    </w:lvl>
  </w:abstractNum>
  <w:abstractNum w:abstractNumId="14">
    <w:nsid w:val="00000010"/>
    <w:multiLevelType w:val="singleLevel"/>
    <w:tmpl w:val="00000010"/>
    <w:lvl w:ilvl="0">
      <w:start w:val="1"/>
      <w:numFmt w:val="decimal"/>
      <w:lvlText w:val="%1)"/>
      <w:lvlJc w:val="left"/>
      <w:pPr>
        <w:ind w:left="644" w:hanging="360"/>
      </w:pPr>
      <w:rPr>
        <w:rFonts w:ascii="Times New Roman" w:hAnsi="Times New Roman" w:cs="Times New Roman"/>
        <w:b w:val="0"/>
        <w:bCs w:val="0"/>
        <w:i w:val="0"/>
        <w:iCs w:val="0"/>
        <w:strike w:val="0"/>
        <w:color w:val="auto"/>
        <w:sz w:val="24"/>
        <w:szCs w:val="24"/>
        <w:u w:val="none"/>
      </w:rPr>
    </w:lvl>
  </w:abstractNum>
  <w:abstractNum w:abstractNumId="15">
    <w:nsid w:val="00000011"/>
    <w:multiLevelType w:val="singleLevel"/>
    <w:tmpl w:val="00000011"/>
    <w:lvl w:ilvl="0">
      <w:start w:val="1"/>
      <w:numFmt w:val="decimal"/>
      <w:lvlText w:val="%1)"/>
      <w:lvlJc w:val="left"/>
      <w:pPr>
        <w:ind w:left="1068" w:hanging="360"/>
      </w:pPr>
      <w:rPr>
        <w:rFonts w:ascii="Times New Roman" w:hAnsi="Times New Roman" w:cs="Times New Roman"/>
        <w:b w:val="0"/>
        <w:bCs w:val="0"/>
        <w:i w:val="0"/>
        <w:iCs w:val="0"/>
        <w:strike w:val="0"/>
        <w:color w:val="auto"/>
        <w:sz w:val="24"/>
        <w:szCs w:val="24"/>
        <w:u w:val="none"/>
      </w:rPr>
    </w:lvl>
  </w:abstractNum>
  <w:abstractNum w:abstractNumId="16">
    <w:nsid w:val="00000012"/>
    <w:multiLevelType w:val="singleLevel"/>
    <w:tmpl w:val="00000012"/>
    <w:lvl w:ilvl="0">
      <w:start w:val="1"/>
      <w:numFmt w:val="bullet"/>
      <w:lvlText w:val=""/>
      <w:lvlJc w:val="left"/>
      <w:pPr>
        <w:ind w:left="780" w:hanging="360"/>
      </w:pPr>
      <w:rPr>
        <w:rFonts w:ascii="Symbol" w:hAnsi="Symbol" w:cs="Symbol" w:hint="default"/>
        <w:b w:val="0"/>
        <w:bCs w:val="0"/>
        <w:i w:val="0"/>
        <w:iCs w:val="0"/>
        <w:strike w:val="0"/>
        <w:color w:val="auto"/>
        <w:sz w:val="24"/>
        <w:szCs w:val="24"/>
        <w:u w:val="none"/>
      </w:rPr>
    </w:lvl>
  </w:abstractNum>
  <w:abstractNum w:abstractNumId="17">
    <w:nsid w:val="00000013"/>
    <w:multiLevelType w:val="singleLevel"/>
    <w:tmpl w:val="00000013"/>
    <w:lvl w:ilvl="0">
      <w:start w:val="2"/>
      <w:numFmt w:val="decimal"/>
      <w:lvlText w:val="%1)"/>
      <w:lvlJc w:val="left"/>
      <w:pPr>
        <w:ind w:left="480" w:hanging="360"/>
      </w:pPr>
      <w:rPr>
        <w:rFonts w:ascii="Times New Roman" w:hAnsi="Times New Roman" w:cs="Times New Roman"/>
        <w:b w:val="0"/>
        <w:bCs w:val="0"/>
        <w:i w:val="0"/>
        <w:iCs w:val="0"/>
        <w:strike w:val="0"/>
        <w:color w:val="auto"/>
        <w:sz w:val="24"/>
        <w:szCs w:val="24"/>
        <w:u w:val="none"/>
      </w:rPr>
    </w:lvl>
  </w:abstractNum>
  <w:num w:numId="1">
    <w:abstractNumId w:val="0"/>
  </w:num>
  <w:num w:numId="2">
    <w:abstractNumId w:val="1"/>
  </w:num>
  <w:num w:numId="3">
    <w:abstractNumId w:val="2"/>
  </w:num>
  <w:num w:numId="4">
    <w:abstractNumId w:val="2"/>
    <w:lvlOverride w:ilvl="0">
      <w:lvl w:ilvl="0">
        <w:start w:val="1"/>
        <w:numFmt w:val="lowerLetter"/>
        <w:lvlText w:val="%1)"/>
        <w:lvlJc w:val="left"/>
        <w:pPr>
          <w:ind w:left="1789" w:hanging="360"/>
        </w:pPr>
        <w:rPr>
          <w:rFonts w:ascii="Times New Roman" w:hAnsi="Times New Roman" w:cs="Times New Roman"/>
          <w:b w:val="0"/>
          <w:bCs w:val="0"/>
          <w:i w:val="0"/>
          <w:iCs w:val="0"/>
          <w:strike w:val="0"/>
          <w:color w:val="000000"/>
          <w:sz w:val="24"/>
          <w:szCs w:val="24"/>
          <w:u w:val="none"/>
        </w:rPr>
      </w:lvl>
    </w:lvlOverride>
  </w:num>
  <w:num w:numId="5">
    <w:abstractNumId w:val="3"/>
  </w:num>
  <w:num w:numId="6">
    <w:abstractNumId w:val="4"/>
  </w:num>
  <w:num w:numId="7">
    <w:abstractNumId w:val="5"/>
  </w:num>
  <w:num w:numId="8">
    <w:abstractNumId w:val="6"/>
  </w:num>
  <w:num w:numId="9">
    <w:abstractNumId w:val="7"/>
  </w:num>
  <w:num w:numId="10">
    <w:abstractNumId w:val="8"/>
  </w:num>
  <w:num w:numId="11">
    <w:abstractNumId w:val="9"/>
  </w:num>
  <w:num w:numId="12">
    <w:abstractNumId w:val="10"/>
  </w:num>
  <w:num w:numId="13">
    <w:abstractNumId w:val="11"/>
  </w:num>
  <w:num w:numId="14">
    <w:abstractNumId w:val="12"/>
  </w:num>
  <w:num w:numId="15">
    <w:abstractNumId w:val="13"/>
  </w:num>
  <w:num w:numId="16">
    <w:abstractNumId w:val="3"/>
    <w:lvlOverride w:ilvl="0">
      <w:lvl w:ilvl="0">
        <w:start w:val="1"/>
        <w:numFmt w:val="lowerLetter"/>
        <w:lvlText w:val="%1)"/>
        <w:lvlJc w:val="left"/>
        <w:pPr>
          <w:ind w:left="1789" w:hanging="360"/>
        </w:pPr>
        <w:rPr>
          <w:rFonts w:ascii="Times New Roman" w:hAnsi="Times New Roman" w:cs="Times New Roman"/>
          <w:b w:val="0"/>
          <w:bCs w:val="0"/>
          <w:i w:val="0"/>
          <w:iCs w:val="0"/>
          <w:strike w:val="0"/>
          <w:color w:val="000000"/>
          <w:sz w:val="24"/>
          <w:szCs w:val="24"/>
          <w:u w:val="none"/>
        </w:rPr>
      </w:lvl>
    </w:lvlOverride>
  </w:num>
  <w:num w:numId="17">
    <w:abstractNumId w:val="14"/>
  </w:num>
  <w:num w:numId="18">
    <w:abstractNumId w:val="15"/>
  </w:num>
  <w:num w:numId="19">
    <w:abstractNumId w:val="16"/>
  </w:num>
  <w:num w:numId="20">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1"/>
  <w:proofState w:spelling="clean"/>
  <w:defaultTabStop w:val="708"/>
  <w:hyphenationZone w:val="425"/>
  <w:characterSpacingControl w:val="doNotCompress"/>
  <w:compat/>
  <w:rsids>
    <w:rsidRoot w:val="00894850"/>
    <w:rsid w:val="000E4D54"/>
    <w:rsid w:val="00332662"/>
    <w:rsid w:val="00452557"/>
    <w:rsid w:val="005E17DC"/>
    <w:rsid w:val="00894850"/>
    <w:rsid w:val="00AD08A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D08A9"/>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3">
    <w:name w:val="Body Text 3"/>
    <w:basedOn w:val="Normalny"/>
    <w:link w:val="Tekstpodstawowy3Znak"/>
    <w:uiPriority w:val="99"/>
    <w:rsid w:val="00894850"/>
    <w:pPr>
      <w:autoSpaceDE w:val="0"/>
      <w:autoSpaceDN w:val="0"/>
      <w:adjustRightInd w:val="0"/>
      <w:spacing w:after="120"/>
    </w:pPr>
    <w:rPr>
      <w:rFonts w:ascii="Calibri" w:hAnsi="Calibri" w:cs="Calibri"/>
      <w:sz w:val="16"/>
      <w:szCs w:val="16"/>
    </w:rPr>
  </w:style>
  <w:style w:type="character" w:customStyle="1" w:styleId="Tekstpodstawowy3Znak">
    <w:name w:val="Tekst podstawowy 3 Znak"/>
    <w:basedOn w:val="Domylnaczcionkaakapitu"/>
    <w:link w:val="Tekstpodstawowy3"/>
    <w:uiPriority w:val="99"/>
    <w:rsid w:val="00894850"/>
    <w:rPr>
      <w:rFonts w:ascii="Calibri" w:hAnsi="Calibri" w:cs="Calibri"/>
      <w:sz w:val="16"/>
      <w:szCs w:val="16"/>
    </w:rPr>
  </w:style>
  <w:style w:type="paragraph" w:styleId="Akapitzlist">
    <w:name w:val="List Paragraph"/>
    <w:basedOn w:val="Normalny"/>
    <w:uiPriority w:val="34"/>
    <w:qFormat/>
    <w:rsid w:val="00894850"/>
    <w:pPr>
      <w:autoSpaceDE w:val="0"/>
      <w:autoSpaceDN w:val="0"/>
      <w:adjustRightInd w:val="0"/>
      <w:ind w:left="720"/>
    </w:pPr>
    <w:rPr>
      <w:rFonts w:ascii="Calibri" w:hAnsi="Calibri" w:cs="Calibri"/>
    </w:rPr>
  </w:style>
  <w:style w:type="paragraph" w:styleId="Tekstpodstawowy">
    <w:name w:val="Body Text"/>
    <w:basedOn w:val="Normalny"/>
    <w:link w:val="TekstpodstawowyZnak"/>
    <w:uiPriority w:val="99"/>
    <w:semiHidden/>
    <w:unhideWhenUsed/>
    <w:rsid w:val="00AD08A9"/>
    <w:pPr>
      <w:spacing w:after="120"/>
    </w:pPr>
  </w:style>
  <w:style w:type="character" w:customStyle="1" w:styleId="TekstpodstawowyZnak">
    <w:name w:val="Tekst podstawowy Znak"/>
    <w:basedOn w:val="Domylnaczcionkaakapitu"/>
    <w:link w:val="Tekstpodstawowy"/>
    <w:uiPriority w:val="99"/>
    <w:semiHidden/>
    <w:rsid w:val="00AD08A9"/>
  </w:style>
  <w:style w:type="paragraph" w:styleId="Tekstpodstawowywcity">
    <w:name w:val="Body Text Indent"/>
    <w:basedOn w:val="Normalny"/>
    <w:link w:val="TekstpodstawowywcityZnak"/>
    <w:uiPriority w:val="99"/>
    <w:semiHidden/>
    <w:unhideWhenUsed/>
    <w:rsid w:val="00AD08A9"/>
    <w:pPr>
      <w:spacing w:after="120"/>
      <w:ind w:left="283"/>
    </w:pPr>
  </w:style>
  <w:style w:type="character" w:customStyle="1" w:styleId="TekstpodstawowywcityZnak">
    <w:name w:val="Tekst podstawowy wcięty Znak"/>
    <w:basedOn w:val="Domylnaczcionkaakapitu"/>
    <w:link w:val="Tekstpodstawowywcity"/>
    <w:uiPriority w:val="99"/>
    <w:semiHidden/>
    <w:rsid w:val="00AD08A9"/>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15</Pages>
  <Words>5001</Words>
  <Characters>30007</Characters>
  <Application>Microsoft Office Word</Application>
  <DocSecurity>0</DocSecurity>
  <Lines>250</Lines>
  <Paragraphs>69</Paragraphs>
  <ScaleCrop>false</ScaleCrop>
  <Company/>
  <LinksUpToDate>false</LinksUpToDate>
  <CharactersWithSpaces>34939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annak</dc:creator>
  <cp:keywords/>
  <dc:description/>
  <cp:lastModifiedBy>annak</cp:lastModifiedBy>
  <cp:revision>2</cp:revision>
  <dcterms:created xsi:type="dcterms:W3CDTF">2013-11-20T13:43:00Z</dcterms:created>
  <dcterms:modified xsi:type="dcterms:W3CDTF">2013-11-20T13:50:00Z</dcterms:modified>
</cp:coreProperties>
</file>